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40" w:rsidRDefault="00DE0210" w:rsidP="00E53240">
      <w:pPr>
        <w:rPr>
          <w:rFonts w:ascii="Arial" w:hAnsi="Arial" w:cs="Arial"/>
          <w:b/>
          <w:sz w:val="44"/>
          <w:szCs w:val="44"/>
        </w:rPr>
      </w:pPr>
      <w:bookmarkStart w:id="0" w:name="_GoBack"/>
      <w:bookmarkEnd w:id="0"/>
    </w:p>
    <w:p w:rsidR="00E53240" w:rsidRDefault="00DE0210" w:rsidP="00E53240">
      <w:r>
        <w:rPr>
          <w:noProof/>
          <w:lang w:eastAsia="en-GB"/>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158115</wp:posOffset>
                </wp:positionV>
                <wp:extent cx="7114252" cy="1552575"/>
                <wp:effectExtent l="0" t="0" r="0" b="9525"/>
                <wp:wrapNone/>
                <wp:docPr id="1" name="Group 1"/>
                <wp:cNvGraphicFramePr/>
                <a:graphic xmlns:a="http://schemas.openxmlformats.org/drawingml/2006/main">
                  <a:graphicData uri="http://schemas.microsoft.com/office/word/2010/wordprocessingGroup">
                    <wpg:wgp>
                      <wpg:cNvGrpSpPr/>
                      <wpg:grpSpPr>
                        <a:xfrm>
                          <a:off x="0" y="0"/>
                          <a:ext cx="7114252" cy="1552575"/>
                          <a:chOff x="0" y="-1"/>
                          <a:chExt cx="7315200" cy="1216153"/>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94100</wp14:pctWidth>
                </wp14:sizeRelH>
                <wp14:sizeRelV relativeFrom="page">
                  <wp14:pctHeight>0</wp14:pctHeight>
                </wp14:sizeRelV>
              </wp:anchor>
            </w:drawing>
          </mc:Choice>
          <mc:Fallback>
            <w:pict>
              <v:group id="Group 1" o:spid="_x0000_s1025" style="width:8in;height:122.25pt;margin-top:12.45pt;margin-left:0;mso-position-horizontal:center;mso-position-horizontal-relative:margin;mso-position-vertical-relative:page;mso-width-percent:941;position:absolute;z-index:251659264" coordsize="73152,12161">
                <v:shape id="Rectangle 51" o:spid="_x0000_s1026" style="width:73152;height:11303;mso-wrap-style:square;position:absolute;visibility:visible;v-text-anchor:middle" coordsize="7312660,1129665" path="m,l7312660,l7312660,1129665l3619500,733425,,1091565,,xe" fillcolor="#5b9bd5" stroked="f" strokeweight="1pt">
                  <v:stroke joinstyle="miter"/>
                  <v:path arrowok="t" o:connecttype="custom" o:connectlocs="0,0;7315200,0;7315200,1130373;3620757,733885;0,1092249;0,0" o:connectangles="0,0,0,0,0,0"/>
                </v:shape>
                <v:rect id="Rectangle 3" o:spid="_x0000_s1027" style="width:73152;height:12161;mso-wrap-style:square;position:absolute;visibility:visible;v-text-anchor:middle" stroked="f" strokeweight="1pt">
                  <v:fill r:id="rId9" o:title="" recolor="t" rotate="t" type="frame"/>
                </v:rect>
                <w10:wrap anchorx="margin"/>
              </v:group>
            </w:pict>
          </mc:Fallback>
        </mc:AlternateContent>
      </w:r>
    </w:p>
    <w:p w:rsidR="00E53240" w:rsidRDefault="00DE0210" w:rsidP="00E53240"/>
    <w:p w:rsidR="00E53240" w:rsidRDefault="00DE0210" w:rsidP="00E53240"/>
    <w:p w:rsidR="00E53240" w:rsidRDefault="00DE0210" w:rsidP="00E53240"/>
    <w:p w:rsidR="00E53240" w:rsidRDefault="00DE0210" w:rsidP="00E53240"/>
    <w:p w:rsidR="00E53240" w:rsidRDefault="00DE0210" w:rsidP="00E53240">
      <w:pPr>
        <w:ind w:left="284" w:hanging="142"/>
        <w:jc w:val="center"/>
        <w:rPr>
          <w:color w:val="5B9BD5" w:themeColor="accent1"/>
          <w:sz w:val="64"/>
          <w:szCs w:val="64"/>
        </w:rPr>
      </w:pPr>
      <w:r>
        <w:rPr>
          <w:noProof/>
          <w:color w:val="5B9BD5" w:themeColor="accent1"/>
          <w:sz w:val="64"/>
          <w:szCs w:val="64"/>
          <w:lang w:eastAsia="en-GB"/>
        </w:rPr>
        <w:drawing>
          <wp:inline distT="0" distB="0" distL="0" distR="0">
            <wp:extent cx="3666307" cy="235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97625" name="LSAB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0812" cy="2355566"/>
                    </a:xfrm>
                    <a:prstGeom prst="rect">
                      <a:avLst/>
                    </a:prstGeom>
                  </pic:spPr>
                </pic:pic>
              </a:graphicData>
            </a:graphic>
          </wp:inline>
        </w:drawing>
      </w:r>
    </w:p>
    <w:p w:rsidR="00E53240" w:rsidRDefault="00DE0210" w:rsidP="00E53240">
      <w:pPr>
        <w:jc w:val="right"/>
        <w:rPr>
          <w:color w:val="5B9BD5" w:themeColor="accent1"/>
          <w:sz w:val="64"/>
          <w:szCs w:val="64"/>
        </w:rPr>
      </w:pPr>
    </w:p>
    <w:p w:rsidR="00E53240" w:rsidRDefault="00DE0210" w:rsidP="00E53240">
      <w:pPr>
        <w:jc w:val="right"/>
        <w:rPr>
          <w:color w:val="5B9BD5" w:themeColor="accent1"/>
          <w:sz w:val="64"/>
          <w:szCs w:val="64"/>
        </w:rPr>
      </w:pPr>
      <w:r w:rsidRPr="00C9241D">
        <w:rPr>
          <w:color w:val="5B9BD5" w:themeColor="accent1"/>
          <w:sz w:val="56"/>
          <w:szCs w:val="64"/>
        </w:rPr>
        <w:t xml:space="preserve">Multi-Agency Self-Neglect </w:t>
      </w:r>
      <w:r>
        <w:rPr>
          <w:color w:val="5B9BD5" w:themeColor="accent1"/>
          <w:sz w:val="56"/>
          <w:szCs w:val="64"/>
        </w:rPr>
        <w:t>Framework</w:t>
      </w:r>
    </w:p>
    <w:p w:rsidR="00E53240" w:rsidRDefault="00DE0210" w:rsidP="00E53240">
      <w:pPr>
        <w:spacing w:before="120" w:after="120"/>
        <w:jc w:val="right"/>
        <w:rPr>
          <w:color w:val="404040" w:themeColor="text1" w:themeTint="BF"/>
          <w:sz w:val="36"/>
          <w:szCs w:val="36"/>
        </w:rPr>
      </w:pPr>
    </w:p>
    <w:p w:rsidR="00E53240" w:rsidRDefault="00DE0210" w:rsidP="00E53240">
      <w:pPr>
        <w:spacing w:before="120" w:after="120"/>
        <w:jc w:val="right"/>
        <w:rPr>
          <w:color w:val="5B9BD5" w:themeColor="accent1"/>
          <w:sz w:val="36"/>
          <w:szCs w:val="64"/>
        </w:rPr>
      </w:pPr>
      <w:r w:rsidRPr="00BD0016">
        <w:rPr>
          <w:color w:val="5B9BD5" w:themeColor="accent1"/>
          <w:sz w:val="36"/>
          <w:szCs w:val="64"/>
        </w:rPr>
        <w:t>Date:</w:t>
      </w:r>
      <w:r>
        <w:rPr>
          <w:color w:val="5B9BD5" w:themeColor="accent1"/>
          <w:sz w:val="36"/>
          <w:szCs w:val="64"/>
        </w:rPr>
        <w:t xml:space="preserve"> December 2018</w:t>
      </w:r>
    </w:p>
    <w:p w:rsidR="00E53240" w:rsidRPr="00BD0016" w:rsidRDefault="00DE0210" w:rsidP="00E53240">
      <w:pPr>
        <w:spacing w:before="120" w:after="120"/>
        <w:jc w:val="right"/>
        <w:rPr>
          <w:color w:val="5B9BD5" w:themeColor="accent1"/>
          <w:sz w:val="36"/>
          <w:szCs w:val="64"/>
        </w:rPr>
      </w:pPr>
      <w:r>
        <w:rPr>
          <w:color w:val="5B9BD5" w:themeColor="accent1"/>
          <w:sz w:val="36"/>
          <w:szCs w:val="64"/>
        </w:rPr>
        <w:t>Review date: March 2020</w:t>
      </w:r>
    </w:p>
    <w:p w:rsidR="00E53240" w:rsidRDefault="00DE0210" w:rsidP="00E53240">
      <w:pPr>
        <w:jc w:val="center"/>
        <w:rPr>
          <w:rFonts w:ascii="Arial" w:hAnsi="Arial" w:cs="Arial"/>
          <w:b/>
          <w:sz w:val="44"/>
          <w:szCs w:val="44"/>
        </w:rPr>
      </w:pPr>
    </w:p>
    <w:p w:rsidR="00E53240" w:rsidRDefault="00DE0210" w:rsidP="00E53240">
      <w:pPr>
        <w:rPr>
          <w:rFonts w:ascii="Arial" w:hAnsi="Arial" w:cs="Arial"/>
          <w:b/>
          <w:sz w:val="44"/>
          <w:szCs w:val="44"/>
        </w:rPr>
      </w:pPr>
      <w:r>
        <w:rPr>
          <w:rFonts w:ascii="Arial" w:hAnsi="Arial" w:cs="Arial"/>
          <w:b/>
          <w:sz w:val="44"/>
          <w:szCs w:val="44"/>
        </w:rPr>
        <w:br w:type="page"/>
      </w:r>
    </w:p>
    <w:tbl>
      <w:tblPr>
        <w:tblStyle w:val="TableGrid"/>
        <w:tblW w:w="0" w:type="auto"/>
        <w:tblBorders>
          <w:top w:val="thinThickSmallGap" w:sz="18" w:space="0" w:color="2E74B5" w:themeColor="accent1" w:themeShade="BF"/>
          <w:left w:val="thinThickSmallGap" w:sz="18" w:space="0" w:color="2E74B5" w:themeColor="accent1" w:themeShade="BF"/>
          <w:bottom w:val="thinThickSmallGap" w:sz="18" w:space="0" w:color="2E74B5" w:themeColor="accent1" w:themeShade="BF"/>
          <w:right w:val="thinThickSmallGap" w:sz="18" w:space="0" w:color="2E74B5" w:themeColor="accent1" w:themeShade="BF"/>
          <w:insideH w:val="thinThickSmallGap" w:sz="18" w:space="0" w:color="2E74B5" w:themeColor="accent1" w:themeShade="BF"/>
          <w:insideV w:val="thinThickSmallGap" w:sz="18" w:space="0" w:color="2E74B5" w:themeColor="accent1" w:themeShade="BF"/>
        </w:tblBorders>
        <w:tblLook w:val="04A0" w:firstRow="1" w:lastRow="0" w:firstColumn="1" w:lastColumn="0" w:noHBand="0" w:noVBand="1"/>
      </w:tblPr>
      <w:tblGrid>
        <w:gridCol w:w="10390"/>
      </w:tblGrid>
      <w:tr w:rsidR="00CA297B" w:rsidTr="00263CFE">
        <w:tc>
          <w:tcPr>
            <w:tcW w:w="10456" w:type="dxa"/>
          </w:tcPr>
          <w:sdt>
            <w:sdtPr>
              <w:rPr>
                <w:rFonts w:asciiTheme="minorHAnsi" w:eastAsiaTheme="minorHAnsi" w:hAnsiTheme="minorHAnsi" w:cstheme="minorBidi"/>
                <w:b w:val="0"/>
                <w:color w:val="auto"/>
                <w:sz w:val="22"/>
                <w:szCs w:val="22"/>
                <w:lang w:val="en-GB"/>
              </w:rPr>
              <w:id w:val="-427117551"/>
              <w:docPartObj>
                <w:docPartGallery w:val="Table of Contents"/>
                <w:docPartUnique/>
              </w:docPartObj>
            </w:sdtPr>
            <w:sdtEndPr>
              <w:rPr>
                <w:bCs/>
                <w:noProof/>
              </w:rPr>
            </w:sdtEndPr>
            <w:sdtContent>
              <w:p w:rsidR="00263CFE" w:rsidRDefault="00DE0210" w:rsidP="00263CFE">
                <w:pPr>
                  <w:pStyle w:val="TOCHeading"/>
                </w:pPr>
                <w:r>
                  <w:t>Contents</w:t>
                </w:r>
              </w:p>
              <w:p w:rsidR="00263CFE" w:rsidRPr="00263CFE" w:rsidRDefault="00DE0210" w:rsidP="00263CFE">
                <w:pPr>
                  <w:pStyle w:val="TOC1"/>
                  <w:tabs>
                    <w:tab w:val="right" w:leader="dot" w:pos="10456"/>
                  </w:tabs>
                  <w:spacing w:before="240" w:after="240"/>
                  <w:ind w:right="255"/>
                  <w:rPr>
                    <w:rFonts w:ascii="Arial" w:eastAsiaTheme="minorEastAsia" w:hAnsi="Arial" w:cs="Arial"/>
                    <w:noProof/>
                    <w:sz w:val="28"/>
                    <w:szCs w:val="28"/>
                    <w:lang w:eastAsia="en-GB"/>
                  </w:rPr>
                </w:pPr>
                <w:r>
                  <w:rPr>
                    <w:b/>
                    <w:bCs/>
                    <w:noProof/>
                  </w:rPr>
                  <w:fldChar w:fldCharType="begin"/>
                </w:r>
                <w:r>
                  <w:rPr>
                    <w:b/>
                    <w:bCs/>
                    <w:noProof/>
                  </w:rPr>
                  <w:instrText xml:space="preserve"> TOC \o "1-3" \h \z \u </w:instrText>
                </w:r>
                <w:r>
                  <w:rPr>
                    <w:b/>
                    <w:bCs/>
                    <w:noProof/>
                  </w:rPr>
                  <w:fldChar w:fldCharType="separate"/>
                </w:r>
                <w:hyperlink w:anchor="_Toc532810291" w:history="1">
                  <w:r w:rsidRPr="00263CFE">
                    <w:rPr>
                      <w:rStyle w:val="Hyperlink"/>
                      <w:rFonts w:ascii="Arial" w:hAnsi="Arial" w:cs="Arial"/>
                      <w:noProof/>
                      <w:sz w:val="28"/>
                      <w:szCs w:val="28"/>
                    </w:rPr>
                    <w:t>Introduction</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_Toc532810291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3</w:t>
                  </w:r>
                  <w:r w:rsidRPr="00263CFE">
                    <w:rPr>
                      <w:rFonts w:ascii="Arial" w:hAnsi="Arial" w:cs="Arial"/>
                      <w:noProof/>
                      <w:webHidden/>
                      <w:sz w:val="28"/>
                      <w:szCs w:val="28"/>
                    </w:rPr>
                    <w:fldChar w:fldCharType="end"/>
                  </w:r>
                </w:hyperlink>
              </w:p>
              <w:p w:rsidR="00263CFE" w:rsidRPr="00263CFE" w:rsidRDefault="00DE0210" w:rsidP="00263CFE">
                <w:pPr>
                  <w:pStyle w:val="TOC2"/>
                  <w:tabs>
                    <w:tab w:val="right" w:leader="dot" w:pos="10456"/>
                  </w:tabs>
                  <w:spacing w:before="240" w:after="240"/>
                  <w:ind w:right="255"/>
                  <w:rPr>
                    <w:rFonts w:ascii="Arial" w:eastAsiaTheme="minorEastAsia" w:hAnsi="Arial" w:cs="Arial"/>
                    <w:noProof/>
                    <w:sz w:val="28"/>
                    <w:szCs w:val="28"/>
                    <w:lang w:eastAsia="en-GB"/>
                  </w:rPr>
                </w:pPr>
                <w:hyperlink w:anchor="_Toc532810292" w:history="1">
                  <w:r w:rsidRPr="00263CFE">
                    <w:rPr>
                      <w:rStyle w:val="Hyperlink"/>
                      <w:rFonts w:ascii="Arial" w:hAnsi="Arial" w:cs="Arial"/>
                      <w:noProof/>
                      <w:sz w:val="28"/>
                      <w:szCs w:val="28"/>
                    </w:rPr>
                    <w:t>Self-Neglect</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_Toc532810292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3</w:t>
                  </w:r>
                  <w:r w:rsidRPr="00263CFE">
                    <w:rPr>
                      <w:rFonts w:ascii="Arial" w:hAnsi="Arial" w:cs="Arial"/>
                      <w:noProof/>
                      <w:webHidden/>
                      <w:sz w:val="28"/>
                      <w:szCs w:val="28"/>
                    </w:rPr>
                    <w:fldChar w:fldCharType="end"/>
                  </w:r>
                </w:hyperlink>
              </w:p>
              <w:p w:rsidR="00263CFE" w:rsidRPr="00263CFE" w:rsidRDefault="00DE0210" w:rsidP="00263CFE">
                <w:pPr>
                  <w:pStyle w:val="TOC2"/>
                  <w:tabs>
                    <w:tab w:val="right" w:leader="dot" w:pos="10456"/>
                  </w:tabs>
                  <w:spacing w:before="240" w:after="240"/>
                  <w:ind w:right="255"/>
                  <w:rPr>
                    <w:rFonts w:ascii="Arial" w:eastAsiaTheme="minorEastAsia" w:hAnsi="Arial" w:cs="Arial"/>
                    <w:noProof/>
                    <w:sz w:val="28"/>
                    <w:szCs w:val="28"/>
                    <w:lang w:eastAsia="en-GB"/>
                  </w:rPr>
                </w:pPr>
                <w:hyperlink w:anchor="_Toc532810293" w:history="1">
                  <w:r w:rsidRPr="00263CFE">
                    <w:rPr>
                      <w:rStyle w:val="Hyperlink"/>
                      <w:rFonts w:ascii="Arial" w:hAnsi="Arial" w:cs="Arial"/>
                      <w:noProof/>
                      <w:sz w:val="28"/>
                      <w:szCs w:val="28"/>
                    </w:rPr>
                    <w:t>Mental Capacity</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_Toc532810293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4</w:t>
                  </w:r>
                  <w:r w:rsidRPr="00263CFE">
                    <w:rPr>
                      <w:rFonts w:ascii="Arial" w:hAnsi="Arial" w:cs="Arial"/>
                      <w:noProof/>
                      <w:webHidden/>
                      <w:sz w:val="28"/>
                      <w:szCs w:val="28"/>
                    </w:rPr>
                    <w:fldChar w:fldCharType="end"/>
                  </w:r>
                </w:hyperlink>
              </w:p>
              <w:p w:rsidR="00263CFE" w:rsidRPr="00263CFE" w:rsidRDefault="00DE0210" w:rsidP="00263CFE">
                <w:pPr>
                  <w:pStyle w:val="TOC2"/>
                  <w:tabs>
                    <w:tab w:val="right" w:leader="dot" w:pos="10456"/>
                  </w:tabs>
                  <w:spacing w:before="240" w:after="240"/>
                  <w:ind w:right="255"/>
                  <w:rPr>
                    <w:rFonts w:ascii="Arial" w:eastAsiaTheme="minorEastAsia" w:hAnsi="Arial" w:cs="Arial"/>
                    <w:noProof/>
                    <w:sz w:val="28"/>
                    <w:szCs w:val="28"/>
                    <w:lang w:eastAsia="en-GB"/>
                  </w:rPr>
                </w:pPr>
                <w:hyperlink w:anchor="_Toc532810294" w:history="1">
                  <w:r w:rsidRPr="00263CFE">
                    <w:rPr>
                      <w:rStyle w:val="Hyperlink"/>
                      <w:rFonts w:ascii="Arial" w:hAnsi="Arial" w:cs="Arial"/>
                      <w:noProof/>
                      <w:sz w:val="28"/>
                      <w:szCs w:val="28"/>
                    </w:rPr>
                    <w:t>Exclusions</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w:instrText>
                  </w:r>
                  <w:r w:rsidRPr="00263CFE">
                    <w:rPr>
                      <w:rFonts w:ascii="Arial" w:hAnsi="Arial" w:cs="Arial"/>
                      <w:noProof/>
                      <w:webHidden/>
                      <w:sz w:val="28"/>
                      <w:szCs w:val="28"/>
                    </w:rPr>
                    <w:instrText xml:space="preserve">GEREF _Toc532810294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6</w:t>
                  </w:r>
                  <w:r w:rsidRPr="00263CFE">
                    <w:rPr>
                      <w:rFonts w:ascii="Arial" w:hAnsi="Arial" w:cs="Arial"/>
                      <w:noProof/>
                      <w:webHidden/>
                      <w:sz w:val="28"/>
                      <w:szCs w:val="28"/>
                    </w:rPr>
                    <w:fldChar w:fldCharType="end"/>
                  </w:r>
                </w:hyperlink>
              </w:p>
              <w:p w:rsidR="00263CFE" w:rsidRPr="00263CFE" w:rsidRDefault="00DE0210" w:rsidP="00263CFE">
                <w:pPr>
                  <w:pStyle w:val="TOC2"/>
                  <w:tabs>
                    <w:tab w:val="right" w:leader="dot" w:pos="10456"/>
                  </w:tabs>
                  <w:spacing w:before="240" w:after="240"/>
                  <w:ind w:right="255"/>
                  <w:rPr>
                    <w:rFonts w:ascii="Arial" w:eastAsiaTheme="minorEastAsia" w:hAnsi="Arial" w:cs="Arial"/>
                    <w:noProof/>
                    <w:sz w:val="28"/>
                    <w:szCs w:val="28"/>
                    <w:lang w:eastAsia="en-GB"/>
                  </w:rPr>
                </w:pPr>
                <w:hyperlink w:anchor="_Toc532810295" w:history="1">
                  <w:r w:rsidRPr="00263CFE">
                    <w:rPr>
                      <w:rStyle w:val="Hyperlink"/>
                      <w:rFonts w:ascii="Arial" w:hAnsi="Arial" w:cs="Arial"/>
                      <w:noProof/>
                      <w:sz w:val="28"/>
                      <w:szCs w:val="28"/>
                    </w:rPr>
                    <w:t>Information Sharing</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_Toc532810295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6</w:t>
                  </w:r>
                  <w:r w:rsidRPr="00263CFE">
                    <w:rPr>
                      <w:rFonts w:ascii="Arial" w:hAnsi="Arial" w:cs="Arial"/>
                      <w:noProof/>
                      <w:webHidden/>
                      <w:sz w:val="28"/>
                      <w:szCs w:val="28"/>
                    </w:rPr>
                    <w:fldChar w:fldCharType="end"/>
                  </w:r>
                </w:hyperlink>
              </w:p>
              <w:p w:rsidR="00263CFE" w:rsidRPr="00263CFE" w:rsidRDefault="00DE0210" w:rsidP="00263CFE">
                <w:pPr>
                  <w:pStyle w:val="TOC2"/>
                  <w:tabs>
                    <w:tab w:val="right" w:leader="dot" w:pos="10456"/>
                  </w:tabs>
                  <w:spacing w:before="240" w:after="240"/>
                  <w:ind w:right="255"/>
                  <w:rPr>
                    <w:rFonts w:ascii="Arial" w:eastAsiaTheme="minorEastAsia" w:hAnsi="Arial" w:cs="Arial"/>
                    <w:noProof/>
                    <w:sz w:val="28"/>
                    <w:szCs w:val="28"/>
                    <w:lang w:eastAsia="en-GB"/>
                  </w:rPr>
                </w:pPr>
                <w:hyperlink w:anchor="_Toc532810296" w:history="1">
                  <w:r w:rsidRPr="00263CFE">
                    <w:rPr>
                      <w:rStyle w:val="Hyperlink"/>
                      <w:rFonts w:ascii="Arial" w:hAnsi="Arial" w:cs="Arial"/>
                      <w:noProof/>
                      <w:sz w:val="28"/>
                      <w:szCs w:val="28"/>
                    </w:rPr>
                    <w:t>Consent</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_Toc532810296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6</w:t>
                  </w:r>
                  <w:r w:rsidRPr="00263CFE">
                    <w:rPr>
                      <w:rFonts w:ascii="Arial" w:hAnsi="Arial" w:cs="Arial"/>
                      <w:noProof/>
                      <w:webHidden/>
                      <w:sz w:val="28"/>
                      <w:szCs w:val="28"/>
                    </w:rPr>
                    <w:fldChar w:fldCharType="end"/>
                  </w:r>
                </w:hyperlink>
              </w:p>
              <w:p w:rsidR="00263CFE" w:rsidRPr="00263CFE" w:rsidRDefault="00DE0210" w:rsidP="00263CFE">
                <w:pPr>
                  <w:pStyle w:val="TOC2"/>
                  <w:tabs>
                    <w:tab w:val="right" w:leader="dot" w:pos="10456"/>
                  </w:tabs>
                  <w:spacing w:before="240" w:after="240"/>
                  <w:ind w:right="255"/>
                  <w:rPr>
                    <w:rFonts w:ascii="Arial" w:eastAsiaTheme="minorEastAsia" w:hAnsi="Arial" w:cs="Arial"/>
                    <w:noProof/>
                    <w:sz w:val="28"/>
                    <w:szCs w:val="28"/>
                    <w:lang w:eastAsia="en-GB"/>
                  </w:rPr>
                </w:pPr>
                <w:hyperlink w:anchor="_Toc532810297" w:history="1">
                  <w:r w:rsidRPr="00263CFE">
                    <w:rPr>
                      <w:rStyle w:val="Hyperlink"/>
                      <w:rFonts w:ascii="Arial" w:hAnsi="Arial" w:cs="Arial"/>
                      <w:noProof/>
                      <w:sz w:val="28"/>
                      <w:szCs w:val="28"/>
                    </w:rPr>
                    <w:t>Multi-Disciplinary Tea</w:t>
                  </w:r>
                  <w:r w:rsidRPr="00263CFE">
                    <w:rPr>
                      <w:rStyle w:val="Hyperlink"/>
                      <w:rFonts w:ascii="Arial" w:hAnsi="Arial" w:cs="Arial"/>
                      <w:noProof/>
                      <w:sz w:val="28"/>
                      <w:szCs w:val="28"/>
                    </w:rPr>
                    <w:t>m (MDT) Meeting</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_Toc532810297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7</w:t>
                  </w:r>
                  <w:r w:rsidRPr="00263CFE">
                    <w:rPr>
                      <w:rFonts w:ascii="Arial" w:hAnsi="Arial" w:cs="Arial"/>
                      <w:noProof/>
                      <w:webHidden/>
                      <w:sz w:val="28"/>
                      <w:szCs w:val="28"/>
                    </w:rPr>
                    <w:fldChar w:fldCharType="end"/>
                  </w:r>
                </w:hyperlink>
              </w:p>
              <w:p w:rsidR="00263CFE" w:rsidRPr="00263CFE" w:rsidRDefault="00DE0210" w:rsidP="00263CFE">
                <w:pPr>
                  <w:pStyle w:val="TOC3"/>
                  <w:ind w:right="255"/>
                  <w:rPr>
                    <w:rFonts w:ascii="Arial" w:eastAsiaTheme="minorEastAsia" w:hAnsi="Arial" w:cs="Arial"/>
                    <w:noProof/>
                    <w:sz w:val="28"/>
                    <w:szCs w:val="28"/>
                    <w:lang w:eastAsia="en-GB"/>
                  </w:rPr>
                </w:pPr>
                <w:hyperlink w:anchor="_Toc532810298" w:history="1">
                  <w:r w:rsidRPr="00263CFE">
                    <w:rPr>
                      <w:rStyle w:val="Hyperlink"/>
                      <w:rFonts w:ascii="Arial" w:hAnsi="Arial" w:cs="Arial"/>
                      <w:noProof/>
                      <w:sz w:val="28"/>
                      <w:szCs w:val="28"/>
                    </w:rPr>
                    <w:t>Actions following the MDT meeting</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_Toc532810298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8</w:t>
                  </w:r>
                  <w:r w:rsidRPr="00263CFE">
                    <w:rPr>
                      <w:rFonts w:ascii="Arial" w:hAnsi="Arial" w:cs="Arial"/>
                      <w:noProof/>
                      <w:webHidden/>
                      <w:sz w:val="28"/>
                      <w:szCs w:val="28"/>
                    </w:rPr>
                    <w:fldChar w:fldCharType="end"/>
                  </w:r>
                </w:hyperlink>
              </w:p>
              <w:p w:rsidR="00263CFE" w:rsidRPr="00263CFE" w:rsidRDefault="00DE0210" w:rsidP="00263CFE">
                <w:pPr>
                  <w:pStyle w:val="TOC3"/>
                  <w:ind w:right="255"/>
                  <w:rPr>
                    <w:rFonts w:ascii="Arial" w:eastAsiaTheme="minorEastAsia" w:hAnsi="Arial" w:cs="Arial"/>
                    <w:noProof/>
                    <w:sz w:val="28"/>
                    <w:szCs w:val="28"/>
                    <w:lang w:eastAsia="en-GB"/>
                  </w:rPr>
                </w:pPr>
                <w:hyperlink w:anchor="_Toc532810299" w:history="1">
                  <w:r w:rsidRPr="00263CFE">
                    <w:rPr>
                      <w:rStyle w:val="Hyperlink"/>
                      <w:rFonts w:ascii="Arial" w:hAnsi="Arial" w:cs="Arial"/>
                      <w:noProof/>
                      <w:sz w:val="28"/>
                      <w:szCs w:val="28"/>
                    </w:rPr>
                    <w:t>Disagreements between Agencies</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_Toc532810299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9</w:t>
                  </w:r>
                  <w:r w:rsidRPr="00263CFE">
                    <w:rPr>
                      <w:rFonts w:ascii="Arial" w:hAnsi="Arial" w:cs="Arial"/>
                      <w:noProof/>
                      <w:webHidden/>
                      <w:sz w:val="28"/>
                      <w:szCs w:val="28"/>
                    </w:rPr>
                    <w:fldChar w:fldCharType="end"/>
                  </w:r>
                </w:hyperlink>
              </w:p>
              <w:p w:rsidR="00263CFE" w:rsidRPr="00263CFE" w:rsidRDefault="00DE0210" w:rsidP="00263CFE">
                <w:pPr>
                  <w:pStyle w:val="TOC2"/>
                  <w:tabs>
                    <w:tab w:val="right" w:leader="dot" w:pos="10456"/>
                  </w:tabs>
                  <w:spacing w:before="240" w:after="240"/>
                  <w:ind w:right="255"/>
                  <w:rPr>
                    <w:rFonts w:ascii="Arial" w:eastAsiaTheme="minorEastAsia" w:hAnsi="Arial" w:cs="Arial"/>
                    <w:noProof/>
                    <w:sz w:val="28"/>
                    <w:szCs w:val="28"/>
                    <w:lang w:eastAsia="en-GB"/>
                  </w:rPr>
                </w:pPr>
                <w:hyperlink w:anchor="_Toc532810300" w:history="1">
                  <w:r w:rsidRPr="00263CFE">
                    <w:rPr>
                      <w:rStyle w:val="Hyperlink"/>
                      <w:rFonts w:ascii="Arial" w:hAnsi="Arial" w:cs="Arial"/>
                      <w:noProof/>
                      <w:sz w:val="28"/>
                      <w:szCs w:val="28"/>
                    </w:rPr>
                    <w:t>Exiting the Framework</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_Toc532810300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9</w:t>
                  </w:r>
                  <w:r w:rsidRPr="00263CFE">
                    <w:rPr>
                      <w:rFonts w:ascii="Arial" w:hAnsi="Arial" w:cs="Arial"/>
                      <w:noProof/>
                      <w:webHidden/>
                      <w:sz w:val="28"/>
                      <w:szCs w:val="28"/>
                    </w:rPr>
                    <w:fldChar w:fldCharType="end"/>
                  </w:r>
                </w:hyperlink>
              </w:p>
              <w:p w:rsidR="00263CFE" w:rsidRPr="00263CFE" w:rsidRDefault="00DE0210" w:rsidP="00263CFE">
                <w:pPr>
                  <w:pStyle w:val="TOC1"/>
                  <w:tabs>
                    <w:tab w:val="right" w:leader="dot" w:pos="10456"/>
                  </w:tabs>
                  <w:spacing w:before="240" w:after="240"/>
                  <w:ind w:right="255"/>
                  <w:rPr>
                    <w:rFonts w:ascii="Arial" w:eastAsiaTheme="minorEastAsia" w:hAnsi="Arial" w:cs="Arial"/>
                    <w:noProof/>
                    <w:sz w:val="28"/>
                    <w:szCs w:val="28"/>
                    <w:lang w:eastAsia="en-GB"/>
                  </w:rPr>
                </w:pPr>
                <w:hyperlink w:anchor="_Toc532810301" w:history="1">
                  <w:r w:rsidRPr="00263CFE">
                    <w:rPr>
                      <w:rStyle w:val="Hyperlink"/>
                      <w:rFonts w:ascii="Arial" w:hAnsi="Arial" w:cs="Arial"/>
                      <w:noProof/>
                      <w:sz w:val="28"/>
                      <w:szCs w:val="28"/>
                    </w:rPr>
                    <w:t>Supporting Information</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_Toc532810301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10</w:t>
                  </w:r>
                  <w:r w:rsidRPr="00263CFE">
                    <w:rPr>
                      <w:rFonts w:ascii="Arial" w:hAnsi="Arial" w:cs="Arial"/>
                      <w:noProof/>
                      <w:webHidden/>
                      <w:sz w:val="28"/>
                      <w:szCs w:val="28"/>
                    </w:rPr>
                    <w:fldChar w:fldCharType="end"/>
                  </w:r>
                </w:hyperlink>
              </w:p>
              <w:p w:rsidR="00263CFE" w:rsidRPr="00263CFE" w:rsidRDefault="00DE0210" w:rsidP="00263CFE">
                <w:pPr>
                  <w:pStyle w:val="TOC3"/>
                  <w:ind w:right="255"/>
                  <w:rPr>
                    <w:rFonts w:ascii="Arial" w:eastAsiaTheme="minorEastAsia" w:hAnsi="Arial" w:cs="Arial"/>
                    <w:noProof/>
                    <w:sz w:val="28"/>
                    <w:szCs w:val="28"/>
                    <w:lang w:eastAsia="en-GB"/>
                  </w:rPr>
                </w:pPr>
                <w:hyperlink w:anchor="_Toc532810302" w:history="1">
                  <w:r w:rsidRPr="00263CFE">
                    <w:rPr>
                      <w:rStyle w:val="Hyperlink"/>
                      <w:rFonts w:ascii="Arial" w:hAnsi="Arial" w:cs="Arial"/>
                      <w:noProof/>
                      <w:sz w:val="28"/>
                      <w:szCs w:val="28"/>
                    </w:rPr>
                    <w:t>Escalation Tool</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_Toc532810302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10</w:t>
                  </w:r>
                  <w:r w:rsidRPr="00263CFE">
                    <w:rPr>
                      <w:rFonts w:ascii="Arial" w:hAnsi="Arial" w:cs="Arial"/>
                      <w:noProof/>
                      <w:webHidden/>
                      <w:sz w:val="28"/>
                      <w:szCs w:val="28"/>
                    </w:rPr>
                    <w:fldChar w:fldCharType="end"/>
                  </w:r>
                </w:hyperlink>
              </w:p>
              <w:p w:rsidR="00263CFE" w:rsidRDefault="00DE0210" w:rsidP="00263CFE">
                <w:pPr>
                  <w:pStyle w:val="TOC3"/>
                  <w:ind w:right="255"/>
                  <w:rPr>
                    <w:rStyle w:val="Hyperlink"/>
                    <w:rFonts w:ascii="Arial" w:hAnsi="Arial" w:cs="Arial"/>
                    <w:noProof/>
                    <w:sz w:val="28"/>
                    <w:szCs w:val="28"/>
                  </w:rPr>
                </w:pPr>
                <w:hyperlink w:anchor="_Toc532810303" w:history="1">
                  <w:r w:rsidRPr="00263CFE">
                    <w:rPr>
                      <w:rStyle w:val="Hyperlink"/>
                      <w:rFonts w:ascii="Arial" w:hAnsi="Arial" w:cs="Arial"/>
                      <w:noProof/>
                      <w:sz w:val="28"/>
                      <w:szCs w:val="28"/>
                    </w:rPr>
                    <w:t>Contact info</w:t>
                  </w:r>
                  <w:r w:rsidRPr="00263CFE">
                    <w:rPr>
                      <w:rStyle w:val="Hyperlink"/>
                      <w:rFonts w:ascii="Arial" w:hAnsi="Arial" w:cs="Arial"/>
                      <w:noProof/>
                      <w:sz w:val="28"/>
                      <w:szCs w:val="28"/>
                    </w:rPr>
                    <w:t>rmation</w:t>
                  </w:r>
                  <w:r w:rsidRPr="00263CFE">
                    <w:rPr>
                      <w:rFonts w:ascii="Arial" w:hAnsi="Arial" w:cs="Arial"/>
                      <w:noProof/>
                      <w:webHidden/>
                      <w:sz w:val="28"/>
                      <w:szCs w:val="28"/>
                    </w:rPr>
                    <w:tab/>
                  </w:r>
                  <w:r w:rsidRPr="00263CFE">
                    <w:rPr>
                      <w:rFonts w:ascii="Arial" w:hAnsi="Arial" w:cs="Arial"/>
                      <w:noProof/>
                      <w:webHidden/>
                      <w:sz w:val="28"/>
                      <w:szCs w:val="28"/>
                    </w:rPr>
                    <w:fldChar w:fldCharType="begin"/>
                  </w:r>
                  <w:r w:rsidRPr="00263CFE">
                    <w:rPr>
                      <w:rFonts w:ascii="Arial" w:hAnsi="Arial" w:cs="Arial"/>
                      <w:noProof/>
                      <w:webHidden/>
                      <w:sz w:val="28"/>
                      <w:szCs w:val="28"/>
                    </w:rPr>
                    <w:instrText xml:space="preserve"> PAGEREF _Toc532810303 \h </w:instrText>
                  </w:r>
                  <w:r w:rsidRPr="00263CFE">
                    <w:rPr>
                      <w:rFonts w:ascii="Arial" w:hAnsi="Arial" w:cs="Arial"/>
                      <w:noProof/>
                      <w:webHidden/>
                      <w:sz w:val="28"/>
                      <w:szCs w:val="28"/>
                    </w:rPr>
                  </w:r>
                  <w:r w:rsidRPr="00263CFE">
                    <w:rPr>
                      <w:rFonts w:ascii="Arial" w:hAnsi="Arial" w:cs="Arial"/>
                      <w:noProof/>
                      <w:webHidden/>
                      <w:sz w:val="28"/>
                      <w:szCs w:val="28"/>
                    </w:rPr>
                    <w:fldChar w:fldCharType="separate"/>
                  </w:r>
                  <w:r w:rsidRPr="00263CFE">
                    <w:rPr>
                      <w:rFonts w:ascii="Arial" w:hAnsi="Arial" w:cs="Arial"/>
                      <w:noProof/>
                      <w:webHidden/>
                      <w:sz w:val="28"/>
                      <w:szCs w:val="28"/>
                    </w:rPr>
                    <w:t>13</w:t>
                  </w:r>
                  <w:r w:rsidRPr="00263CFE">
                    <w:rPr>
                      <w:rFonts w:ascii="Arial" w:hAnsi="Arial" w:cs="Arial"/>
                      <w:noProof/>
                      <w:webHidden/>
                      <w:sz w:val="28"/>
                      <w:szCs w:val="28"/>
                    </w:rPr>
                    <w:fldChar w:fldCharType="end"/>
                  </w:r>
                </w:hyperlink>
              </w:p>
              <w:p w:rsidR="004F64A1" w:rsidRPr="004F64A1" w:rsidRDefault="00DE0210" w:rsidP="004F64A1">
                <w:pPr>
                  <w:rPr>
                    <w:rFonts w:ascii="Arial" w:hAnsi="Arial" w:cs="Arial"/>
                    <w:sz w:val="28"/>
                    <w:szCs w:val="28"/>
                  </w:rPr>
                </w:pPr>
                <w:r>
                  <w:rPr>
                    <w:rFonts w:ascii="Arial" w:hAnsi="Arial" w:cs="Arial"/>
                    <w:sz w:val="28"/>
                    <w:szCs w:val="28"/>
                  </w:rPr>
                  <w:t>Appendix 1: L</w:t>
                </w:r>
                <w:r w:rsidRPr="004F64A1">
                  <w:rPr>
                    <w:rFonts w:ascii="Arial" w:hAnsi="Arial" w:cs="Arial"/>
                    <w:sz w:val="28"/>
                    <w:szCs w:val="28"/>
                  </w:rPr>
                  <w:t>SAB Hoarding Guidance</w:t>
                </w:r>
                <w:r>
                  <w:rPr>
                    <w:rFonts w:ascii="Arial" w:hAnsi="Arial" w:cs="Arial"/>
                    <w:sz w:val="28"/>
                    <w:szCs w:val="28"/>
                  </w:rPr>
                  <w:t xml:space="preserve"> </w:t>
                </w:r>
                <w:r w:rsidRPr="004F64A1">
                  <w:rPr>
                    <w:rFonts w:ascii="Arial" w:hAnsi="Arial" w:cs="Arial"/>
                    <w:sz w:val="28"/>
                    <w:szCs w:val="28"/>
                    <w:highlight w:val="yellow"/>
                  </w:rPr>
                  <w:t>(To be hyperlinked on go-live date)</w:t>
                </w:r>
              </w:p>
              <w:p w:rsidR="00263CFE" w:rsidRPr="004F64A1" w:rsidRDefault="00DE0210">
                <w:pPr>
                  <w:rPr>
                    <w:b/>
                    <w:bCs/>
                    <w:noProof/>
                  </w:rPr>
                </w:pPr>
                <w:r>
                  <w:rPr>
                    <w:b/>
                    <w:bCs/>
                    <w:noProof/>
                  </w:rPr>
                  <w:fldChar w:fldCharType="end"/>
                </w:r>
              </w:p>
            </w:sdtContent>
          </w:sdt>
        </w:tc>
      </w:tr>
    </w:tbl>
    <w:p w:rsidR="003E313F" w:rsidRDefault="00DE0210">
      <w:pPr>
        <w:rPr>
          <w:rFonts w:ascii="Arial" w:hAnsi="Arial" w:cs="Arial"/>
          <w:b/>
          <w:color w:val="000000" w:themeColor="text1"/>
        </w:rPr>
      </w:pPr>
      <w:r>
        <w:rPr>
          <w:rFonts w:ascii="Arial" w:hAnsi="Arial" w:cs="Arial"/>
          <w:b/>
          <w:color w:val="000000" w:themeColor="text1"/>
        </w:rPr>
        <w:br w:type="page"/>
      </w:r>
    </w:p>
    <w:p w:rsidR="001B105F" w:rsidRPr="0089064A" w:rsidRDefault="00DE0210" w:rsidP="00263CFE">
      <w:pPr>
        <w:pStyle w:val="Heading1"/>
        <w:jc w:val="both"/>
      </w:pPr>
      <w:bookmarkStart w:id="1" w:name="_Toc532810291"/>
      <w:r w:rsidRPr="0089064A">
        <w:lastRenderedPageBreak/>
        <w:t>Introduction</w:t>
      </w:r>
      <w:bookmarkEnd w:id="1"/>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 xml:space="preserve">The purpose of this framework is to provide a process guide for all Lancashire Safeguarding Adults Board (LSAB) partner agencies on how to respond when concerns of self-neglect have been identified. </w:t>
      </w:r>
    </w:p>
    <w:p w:rsidR="001B105F" w:rsidRPr="0089064A" w:rsidRDefault="00DE0210" w:rsidP="00263CFE">
      <w:pPr>
        <w:shd w:val="clear" w:color="auto" w:fill="FFFFFF"/>
        <w:spacing w:after="0" w:line="336" w:lineRule="auto"/>
        <w:jc w:val="both"/>
        <w:rPr>
          <w:rFonts w:ascii="Arial" w:hAnsi="Arial" w:cs="Arial"/>
          <w:color w:val="000000" w:themeColor="text1"/>
        </w:rPr>
      </w:pPr>
    </w:p>
    <w:p w:rsidR="001B105F" w:rsidRPr="0089064A" w:rsidRDefault="00DE0210" w:rsidP="00263CFE">
      <w:pPr>
        <w:pStyle w:val="Heading2"/>
        <w:jc w:val="both"/>
      </w:pPr>
      <w:bookmarkStart w:id="2" w:name="_Toc532810292"/>
      <w:r>
        <w:t>Self-N</w:t>
      </w:r>
      <w:r w:rsidRPr="0089064A">
        <w:t>eglect</w:t>
      </w:r>
      <w:bookmarkEnd w:id="2"/>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This is identified in Chapter 14 of the Ca</w:t>
      </w:r>
      <w:r w:rsidRPr="0089064A">
        <w:rPr>
          <w:rFonts w:ascii="Arial" w:hAnsi="Arial" w:cs="Arial"/>
          <w:color w:val="000000" w:themeColor="text1"/>
        </w:rPr>
        <w:t xml:space="preserve">re and Support Statutory Guidance (October 2018) as covering a "wide range of behaviour neglecting to care for one’s personal hygiene, health or surroundings and includes behaviour such as hoarding". In a recent article in the Journal of Adult Protection, </w:t>
      </w:r>
      <w:r w:rsidRPr="0089064A">
        <w:rPr>
          <w:rFonts w:ascii="Arial" w:hAnsi="Arial" w:cs="Arial"/>
          <w:color w:val="000000" w:themeColor="text1"/>
        </w:rPr>
        <w:t>the authors define self-neglect as:</w:t>
      </w:r>
    </w:p>
    <w:p w:rsidR="0089064A" w:rsidRPr="00F55456" w:rsidRDefault="00DE0210" w:rsidP="00263CFE">
      <w:pPr>
        <w:spacing w:after="0"/>
        <w:jc w:val="both"/>
        <w:rPr>
          <w:rFonts w:ascii="Arial" w:hAnsi="Arial" w:cs="Arial"/>
        </w:rPr>
      </w:pPr>
    </w:p>
    <w:p w:rsidR="001B105F" w:rsidRPr="000F2CCE" w:rsidRDefault="00DE0210" w:rsidP="00263CFE">
      <w:pPr>
        <w:pStyle w:val="ListParagraph"/>
        <w:numPr>
          <w:ilvl w:val="0"/>
          <w:numId w:val="7"/>
        </w:numPr>
        <w:shd w:val="clear" w:color="auto" w:fill="FFFFFF"/>
        <w:spacing w:line="336" w:lineRule="auto"/>
        <w:jc w:val="both"/>
        <w:rPr>
          <w:rFonts w:cs="Arial"/>
          <w:color w:val="000000" w:themeColor="text1"/>
          <w:sz w:val="22"/>
        </w:rPr>
      </w:pPr>
      <w:r w:rsidRPr="000F2CCE">
        <w:rPr>
          <w:rFonts w:cs="Arial"/>
          <w:color w:val="000000" w:themeColor="text1"/>
          <w:sz w:val="22"/>
        </w:rPr>
        <w:t>Lack of self-care – neglect of personal hygiene, nutrition, hydration and health; and/or</w:t>
      </w:r>
    </w:p>
    <w:p w:rsidR="001B105F" w:rsidRPr="000F2CCE" w:rsidRDefault="00DE0210" w:rsidP="00263CFE">
      <w:pPr>
        <w:pStyle w:val="ListParagraph"/>
        <w:numPr>
          <w:ilvl w:val="0"/>
          <w:numId w:val="7"/>
        </w:numPr>
        <w:shd w:val="clear" w:color="auto" w:fill="FFFFFF"/>
        <w:spacing w:line="336" w:lineRule="auto"/>
        <w:jc w:val="both"/>
        <w:rPr>
          <w:rFonts w:cs="Arial"/>
          <w:color w:val="000000" w:themeColor="text1"/>
          <w:sz w:val="22"/>
        </w:rPr>
      </w:pPr>
      <w:r w:rsidRPr="000F2CCE">
        <w:rPr>
          <w:rFonts w:cs="Arial"/>
          <w:color w:val="000000" w:themeColor="text1"/>
          <w:sz w:val="22"/>
        </w:rPr>
        <w:t>Lack of care of one's environment – squalor and hoarding; and/or</w:t>
      </w:r>
    </w:p>
    <w:p w:rsidR="001B105F" w:rsidRPr="000F2CCE" w:rsidRDefault="00DE0210" w:rsidP="00263CFE">
      <w:pPr>
        <w:pStyle w:val="ListParagraph"/>
        <w:numPr>
          <w:ilvl w:val="0"/>
          <w:numId w:val="7"/>
        </w:numPr>
        <w:shd w:val="clear" w:color="auto" w:fill="FFFFFF"/>
        <w:spacing w:line="336" w:lineRule="auto"/>
        <w:jc w:val="both"/>
        <w:rPr>
          <w:rFonts w:cs="Arial"/>
          <w:color w:val="000000" w:themeColor="text1"/>
          <w:sz w:val="22"/>
        </w:rPr>
      </w:pPr>
      <w:r w:rsidRPr="000F2CCE">
        <w:rPr>
          <w:rFonts w:cs="Arial"/>
          <w:color w:val="000000" w:themeColor="text1"/>
          <w:sz w:val="22"/>
        </w:rPr>
        <w:t>Refusal of services that would mitigate risk of harm to safety an</w:t>
      </w:r>
      <w:r w:rsidRPr="000F2CCE">
        <w:rPr>
          <w:rFonts w:cs="Arial"/>
          <w:color w:val="000000" w:themeColor="text1"/>
          <w:sz w:val="22"/>
        </w:rPr>
        <w:t>d well-being. (</w:t>
      </w:r>
      <w:proofErr w:type="spellStart"/>
      <w:r w:rsidRPr="000F2CCE">
        <w:rPr>
          <w:rFonts w:cs="Arial"/>
          <w:color w:val="000000" w:themeColor="text1"/>
          <w:sz w:val="22"/>
        </w:rPr>
        <w:t>Braye</w:t>
      </w:r>
      <w:proofErr w:type="spellEnd"/>
      <w:r w:rsidRPr="000F2CCE">
        <w:rPr>
          <w:rFonts w:cs="Arial"/>
          <w:color w:val="000000" w:themeColor="text1"/>
          <w:sz w:val="22"/>
        </w:rPr>
        <w:t xml:space="preserve"> et al., 2015)</w:t>
      </w:r>
    </w:p>
    <w:p w:rsidR="001B105F" w:rsidRPr="00F55456" w:rsidRDefault="00DE0210" w:rsidP="00263CFE">
      <w:pPr>
        <w:spacing w:after="0"/>
        <w:jc w:val="both"/>
        <w:rPr>
          <w:rFonts w:ascii="Arial" w:hAnsi="Arial" w:cs="Arial"/>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Paragraph 14.17 of the Guidance goes on to state that</w:t>
      </w:r>
      <w:r w:rsidRPr="0089064A">
        <w:rPr>
          <w:rFonts w:ascii="Arial" w:hAnsi="Arial" w:cs="Arial"/>
          <w:i/>
          <w:color w:val="000000" w:themeColor="text1"/>
        </w:rPr>
        <w:t xml:space="preserve"> "It should be noted that self-neglect </w:t>
      </w:r>
      <w:r w:rsidRPr="0089064A">
        <w:rPr>
          <w:rFonts w:ascii="Arial" w:hAnsi="Arial" w:cs="Arial"/>
          <w:b/>
          <w:i/>
          <w:color w:val="000000" w:themeColor="text1"/>
        </w:rPr>
        <w:t>may not</w:t>
      </w:r>
      <w:r w:rsidRPr="0089064A">
        <w:rPr>
          <w:rFonts w:ascii="Arial" w:hAnsi="Arial" w:cs="Arial"/>
          <w:i/>
          <w:color w:val="000000" w:themeColor="text1"/>
        </w:rPr>
        <w:t xml:space="preserve"> prompt a section 42 enquiry. An assessment should be made on a case by case basis."</w:t>
      </w:r>
      <w:r w:rsidRPr="0089064A">
        <w:rPr>
          <w:rFonts w:ascii="Arial" w:hAnsi="Arial" w:cs="Arial"/>
          <w:color w:val="000000" w:themeColor="text1"/>
        </w:rPr>
        <w:t xml:space="preserve"> In Lancashire, the LSAB has agreed t</w:t>
      </w:r>
      <w:r w:rsidRPr="0089064A">
        <w:rPr>
          <w:rFonts w:ascii="Arial" w:hAnsi="Arial" w:cs="Arial"/>
          <w:color w:val="000000" w:themeColor="text1"/>
        </w:rPr>
        <w:t xml:space="preserve">hat </w:t>
      </w:r>
      <w:r w:rsidRPr="0089064A">
        <w:rPr>
          <w:rFonts w:ascii="Arial" w:hAnsi="Arial" w:cs="Arial"/>
          <w:color w:val="000000" w:themeColor="text1"/>
          <w:u w:val="single"/>
        </w:rPr>
        <w:t>in most cases</w:t>
      </w:r>
      <w:r w:rsidRPr="0089064A">
        <w:rPr>
          <w:rFonts w:ascii="Arial" w:hAnsi="Arial" w:cs="Arial"/>
          <w:color w:val="000000" w:themeColor="text1"/>
        </w:rPr>
        <w:t xml:space="preserve"> it would not be a proportionate response to raise a section 42 enquiry for people who self-neglect (including hoarding) and therefore the individual LSAB partner agency would be required to follow the LSAB Multi-agency Self-Neglect Framew</w:t>
      </w:r>
      <w:r w:rsidRPr="0089064A">
        <w:rPr>
          <w:rFonts w:ascii="Arial" w:hAnsi="Arial" w:cs="Arial"/>
          <w:color w:val="000000" w:themeColor="text1"/>
        </w:rPr>
        <w:t>ork.</w:t>
      </w:r>
    </w:p>
    <w:p w:rsidR="001B105F" w:rsidRPr="00F55456" w:rsidRDefault="00DE0210" w:rsidP="00263CFE">
      <w:pPr>
        <w:pStyle w:val="NormalWeb"/>
        <w:spacing w:before="0" w:beforeAutospacing="0" w:after="0" w:afterAutospacing="0"/>
        <w:jc w:val="both"/>
        <w:rPr>
          <w:rFonts w:ascii="Arial" w:hAnsi="Arial" w:cs="Arial"/>
          <w:sz w:val="22"/>
          <w:szCs w:val="22"/>
          <w:lang w:val="en"/>
        </w:rPr>
      </w:pPr>
    </w:p>
    <w:p w:rsidR="001B105F" w:rsidRPr="00F55456" w:rsidRDefault="00DE0210" w:rsidP="00263CFE">
      <w:pPr>
        <w:shd w:val="clear" w:color="auto" w:fill="FFFFFF"/>
        <w:spacing w:after="0" w:line="336" w:lineRule="auto"/>
        <w:jc w:val="both"/>
        <w:rPr>
          <w:rFonts w:ascii="Arial" w:hAnsi="Arial" w:cs="Arial"/>
        </w:rPr>
      </w:pPr>
      <w:r w:rsidRPr="0089064A">
        <w:rPr>
          <w:rFonts w:ascii="Arial" w:hAnsi="Arial" w:cs="Arial"/>
          <w:color w:val="000000" w:themeColor="text1"/>
        </w:rPr>
        <w:t>Therefore this framework is intended to be used when:</w:t>
      </w:r>
    </w:p>
    <w:p w:rsidR="001B105F" w:rsidRPr="00F55456" w:rsidRDefault="00DE0210" w:rsidP="00263CFE">
      <w:pPr>
        <w:spacing w:after="0"/>
        <w:jc w:val="both"/>
        <w:rPr>
          <w:rFonts w:ascii="Arial" w:hAnsi="Arial" w:cs="Arial"/>
          <w:b/>
        </w:rPr>
      </w:pP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 xml:space="preserve">There are </w:t>
      </w:r>
      <w:r w:rsidRPr="0089064A">
        <w:rPr>
          <w:rFonts w:cs="Arial"/>
          <w:b/>
          <w:color w:val="000000" w:themeColor="text1"/>
        </w:rPr>
        <w:t xml:space="preserve">significant </w:t>
      </w:r>
      <w:r w:rsidRPr="0089064A">
        <w:rPr>
          <w:rFonts w:cs="Arial"/>
          <w:color w:val="000000" w:themeColor="text1"/>
        </w:rPr>
        <w:t>concerns by agencies about an individual's safety and/or /wellbeing as a result of self-neglect and /or significant concerns about the safety and /or wellbeing of others (</w:t>
      </w:r>
      <w:r w:rsidRPr="0089064A">
        <w:rPr>
          <w:rFonts w:cs="Arial"/>
          <w:b/>
          <w:color w:val="000000" w:themeColor="text1"/>
        </w:rPr>
        <w:t>risk of serious harm, injury or death</w:t>
      </w:r>
      <w:r w:rsidRPr="0089064A">
        <w:rPr>
          <w:rFonts w:cs="Arial"/>
          <w:color w:val="000000" w:themeColor="text1"/>
        </w:rPr>
        <w:t>).</w:t>
      </w:r>
    </w:p>
    <w:p w:rsidR="001B105F" w:rsidRPr="00F55456" w:rsidRDefault="00DE0210" w:rsidP="00263CFE">
      <w:pPr>
        <w:spacing w:before="60" w:after="60"/>
        <w:jc w:val="both"/>
        <w:rPr>
          <w:rFonts w:ascii="Arial" w:hAnsi="Arial" w:cs="Arial"/>
          <w:b/>
        </w:rPr>
      </w:pPr>
      <w:r w:rsidRPr="00F55456">
        <w:rPr>
          <w:rFonts w:ascii="Arial" w:hAnsi="Arial" w:cs="Arial"/>
          <w:b/>
        </w:rPr>
        <w:t>And</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Existing agency involvement and appropriate multi agency working has been tried and been unable to resolve the issues.</w:t>
      </w:r>
    </w:p>
    <w:p w:rsidR="00C33A67" w:rsidRDefault="00DE0210" w:rsidP="00263CFE">
      <w:pPr>
        <w:spacing w:before="60" w:after="60"/>
        <w:jc w:val="both"/>
        <w:rPr>
          <w:rFonts w:ascii="Arial" w:hAnsi="Arial" w:cs="Arial"/>
          <w:b/>
        </w:rPr>
      </w:pPr>
      <w:r w:rsidRPr="00FE7242">
        <w:rPr>
          <w:rFonts w:ascii="Arial" w:hAnsi="Arial" w:cs="Arial"/>
          <w:b/>
        </w:rPr>
        <w:t>And</w:t>
      </w:r>
    </w:p>
    <w:p w:rsidR="001B105F" w:rsidRPr="0089064A" w:rsidRDefault="00DE0210" w:rsidP="00263CFE">
      <w:pPr>
        <w:pStyle w:val="ListParagraph"/>
        <w:numPr>
          <w:ilvl w:val="0"/>
          <w:numId w:val="7"/>
        </w:numPr>
        <w:shd w:val="clear" w:color="auto" w:fill="FFFFFF"/>
        <w:spacing w:line="336" w:lineRule="auto"/>
        <w:jc w:val="both"/>
        <w:rPr>
          <w:rFonts w:cs="Arial"/>
        </w:rPr>
      </w:pPr>
      <w:r w:rsidRPr="0089064A">
        <w:rPr>
          <w:rFonts w:cs="Arial"/>
          <w:color w:val="000000" w:themeColor="text1"/>
        </w:rPr>
        <w:t>Where the adult appears to have capacity to make decisions regarding their environment an</w:t>
      </w:r>
      <w:r w:rsidRPr="0089064A">
        <w:rPr>
          <w:rFonts w:cs="Arial"/>
          <w:color w:val="000000" w:themeColor="text1"/>
        </w:rPr>
        <w:t>d lifestyle choices pertaining to issues of self-neglect</w:t>
      </w:r>
      <w:r>
        <w:rPr>
          <w:rFonts w:cs="Arial"/>
          <w:color w:val="000000" w:themeColor="text1"/>
        </w:rPr>
        <w:t>.</w:t>
      </w:r>
    </w:p>
    <w:p w:rsidR="00501A94" w:rsidRDefault="00DE0210" w:rsidP="00263CFE">
      <w:pPr>
        <w:shd w:val="clear" w:color="auto" w:fill="FFFFFF"/>
        <w:spacing w:after="0" w:line="336" w:lineRule="auto"/>
        <w:jc w:val="both"/>
        <w:rPr>
          <w:rFonts w:ascii="Arial" w:hAnsi="Arial" w:cs="Arial"/>
          <w:b/>
          <w:color w:val="000000" w:themeColor="text1"/>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b/>
          <w:color w:val="000000" w:themeColor="text1"/>
        </w:rPr>
        <w:t>All partner agencies must take all reasonable steps to work with the individual and address the concerns when they have been made aware themselves</w:t>
      </w:r>
      <w:r w:rsidRPr="0089064A">
        <w:rPr>
          <w:rFonts w:ascii="Arial" w:hAnsi="Arial" w:cs="Arial"/>
          <w:color w:val="000000" w:themeColor="text1"/>
        </w:rPr>
        <w:t>. When this approach has proved to be unsuccessful,</w:t>
      </w:r>
      <w:r w:rsidRPr="0089064A">
        <w:rPr>
          <w:rFonts w:ascii="Arial" w:hAnsi="Arial" w:cs="Arial"/>
          <w:color w:val="000000" w:themeColor="text1"/>
        </w:rPr>
        <w:t xml:space="preserve"> the LSAB partners should follow this framework. There should be operational procedures within each organisation which provide internal governance mechanisms and are compliant with this procedure; each organisation could develop their own operational guida</w:t>
      </w:r>
      <w:r w:rsidRPr="0089064A">
        <w:rPr>
          <w:rFonts w:ascii="Arial" w:hAnsi="Arial" w:cs="Arial"/>
          <w:color w:val="000000" w:themeColor="text1"/>
        </w:rPr>
        <w:t>nce outlining the responsibilities of their own staff.  Each LSAB partner agency will be responsible for ensuring that their staff are able to understand and apply the statutory principles of the Mental Capacity Act 2005 and their responsibilities within i</w:t>
      </w:r>
      <w:r w:rsidRPr="0089064A">
        <w:rPr>
          <w:rFonts w:ascii="Arial" w:hAnsi="Arial" w:cs="Arial"/>
          <w:color w:val="000000" w:themeColor="text1"/>
        </w:rPr>
        <w:t xml:space="preserve">t, to determine whether the individual has the mental capacity to make specific decisions relevant to the situation/risk. Mental </w:t>
      </w:r>
      <w:r w:rsidRPr="0089064A">
        <w:rPr>
          <w:rFonts w:ascii="Arial" w:hAnsi="Arial" w:cs="Arial"/>
          <w:color w:val="000000" w:themeColor="text1"/>
        </w:rPr>
        <w:lastRenderedPageBreak/>
        <w:t>capacity assessments are both time and decision specific and should therefore be considered and/or repeated as risk increases a</w:t>
      </w:r>
      <w:r w:rsidRPr="0089064A">
        <w:rPr>
          <w:rFonts w:ascii="Arial" w:hAnsi="Arial" w:cs="Arial"/>
          <w:color w:val="000000" w:themeColor="text1"/>
        </w:rPr>
        <w:t>nd in relation to each individual risk.</w:t>
      </w:r>
    </w:p>
    <w:p w:rsidR="001B105F" w:rsidRDefault="00DE0210" w:rsidP="00263CFE">
      <w:pPr>
        <w:spacing w:after="0"/>
        <w:jc w:val="both"/>
        <w:rPr>
          <w:rFonts w:ascii="Arial" w:hAnsi="Arial" w:cs="Arial"/>
        </w:rPr>
      </w:pPr>
    </w:p>
    <w:p w:rsidR="001560F9" w:rsidRPr="0089064A" w:rsidRDefault="00DE0210" w:rsidP="00263CFE">
      <w:pPr>
        <w:shd w:val="clear" w:color="auto" w:fill="FFFFFF"/>
        <w:spacing w:after="0" w:line="336" w:lineRule="auto"/>
        <w:jc w:val="both"/>
        <w:rPr>
          <w:rFonts w:ascii="Arial" w:hAnsi="Arial" w:cs="Arial"/>
          <w:b/>
          <w:color w:val="000000" w:themeColor="text1"/>
        </w:rPr>
      </w:pPr>
      <w:r w:rsidRPr="0089064A">
        <w:rPr>
          <w:rFonts w:ascii="Arial" w:hAnsi="Arial" w:cs="Arial"/>
          <w:b/>
          <w:color w:val="000000" w:themeColor="text1"/>
        </w:rPr>
        <w:t>All partner agencies will refer to this framework when the criteria is met. It is acknowledged that all agencies will have their own policy regarding Mental Capacity Act and it is for each agency to ensure that they</w:t>
      </w:r>
      <w:r w:rsidRPr="0089064A">
        <w:rPr>
          <w:rFonts w:ascii="Arial" w:hAnsi="Arial" w:cs="Arial"/>
          <w:b/>
          <w:color w:val="000000" w:themeColor="text1"/>
        </w:rPr>
        <w:t xml:space="preserve"> are compliant with their own policy. </w:t>
      </w:r>
    </w:p>
    <w:p w:rsidR="0089064A" w:rsidRDefault="00DE0210" w:rsidP="00263CFE">
      <w:pPr>
        <w:spacing w:after="0"/>
        <w:jc w:val="both"/>
        <w:rPr>
          <w:rFonts w:ascii="Arial" w:hAnsi="Arial" w:cs="Arial"/>
          <w:u w:val="single"/>
        </w:rPr>
      </w:pPr>
    </w:p>
    <w:p w:rsidR="001B105F" w:rsidRPr="0089064A" w:rsidRDefault="00DE0210" w:rsidP="00263CFE">
      <w:pPr>
        <w:pStyle w:val="Heading2"/>
        <w:jc w:val="both"/>
      </w:pPr>
      <w:bookmarkStart w:id="3" w:name="_Toc532810293"/>
      <w:r w:rsidRPr="0089064A">
        <w:t>Mental Capacity</w:t>
      </w:r>
      <w:bookmarkEnd w:id="3"/>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 xml:space="preserve">The Mental Capacity Act (MCA) 2005 provides a statutory framework for people who lack the capacity to make decisions by themselves. Professionals are required to pay regard to the MCA. The Act has </w:t>
      </w:r>
      <w:r w:rsidRPr="0089064A">
        <w:rPr>
          <w:rFonts w:ascii="Arial" w:hAnsi="Arial" w:cs="Arial"/>
          <w:color w:val="000000" w:themeColor="text1"/>
        </w:rPr>
        <w:t xml:space="preserve">five statutory principles which underpin, and are legal requirements of, the Act: </w:t>
      </w:r>
    </w:p>
    <w:p w:rsidR="001B105F" w:rsidRPr="00F55456" w:rsidRDefault="00DE0210" w:rsidP="00263CFE">
      <w:pPr>
        <w:pStyle w:val="Default"/>
        <w:jc w:val="both"/>
        <w:rPr>
          <w:sz w:val="22"/>
          <w:szCs w:val="22"/>
        </w:rPr>
      </w:pPr>
    </w:p>
    <w:p w:rsidR="001B105F" w:rsidRPr="0089064A" w:rsidRDefault="00DE0210" w:rsidP="00263CFE">
      <w:pPr>
        <w:pStyle w:val="ListParagraph"/>
        <w:numPr>
          <w:ilvl w:val="0"/>
          <w:numId w:val="8"/>
        </w:numPr>
        <w:shd w:val="clear" w:color="auto" w:fill="FFFFFF"/>
        <w:spacing w:line="336" w:lineRule="auto"/>
        <w:jc w:val="both"/>
        <w:rPr>
          <w:rFonts w:cs="Arial"/>
          <w:color w:val="000000" w:themeColor="text1"/>
          <w:specVanish/>
        </w:rPr>
      </w:pPr>
      <w:r w:rsidRPr="0089064A">
        <w:rPr>
          <w:rFonts w:cs="Arial"/>
          <w:color w:val="000000" w:themeColor="text1"/>
        </w:rPr>
        <w:t>A person must be assumed to have capacity unless it is established that he lacks capacity.</w:t>
      </w:r>
    </w:p>
    <w:p w:rsidR="001B105F" w:rsidRPr="0089064A" w:rsidRDefault="00DE0210" w:rsidP="00263CFE">
      <w:pPr>
        <w:pStyle w:val="ListParagraph"/>
        <w:numPr>
          <w:ilvl w:val="0"/>
          <w:numId w:val="8"/>
        </w:numPr>
        <w:shd w:val="clear" w:color="auto" w:fill="FFFFFF"/>
        <w:spacing w:line="336" w:lineRule="auto"/>
        <w:jc w:val="both"/>
        <w:rPr>
          <w:rFonts w:cs="Arial"/>
          <w:color w:val="000000" w:themeColor="text1"/>
          <w:specVanish/>
        </w:rPr>
      </w:pPr>
      <w:r w:rsidRPr="0089064A">
        <w:rPr>
          <w:rFonts w:cs="Arial"/>
          <w:color w:val="000000" w:themeColor="text1"/>
        </w:rPr>
        <w:t>A person is not to be treated as unable to make a decision unless all practicable steps to help him to do so have been taken without success.</w:t>
      </w:r>
    </w:p>
    <w:p w:rsidR="001B105F" w:rsidRPr="0089064A" w:rsidRDefault="00DE0210" w:rsidP="00263CFE">
      <w:pPr>
        <w:pStyle w:val="ListParagraph"/>
        <w:numPr>
          <w:ilvl w:val="0"/>
          <w:numId w:val="8"/>
        </w:numPr>
        <w:shd w:val="clear" w:color="auto" w:fill="FFFFFF"/>
        <w:spacing w:line="336" w:lineRule="auto"/>
        <w:jc w:val="both"/>
        <w:rPr>
          <w:rFonts w:cs="Arial"/>
          <w:color w:val="000000" w:themeColor="text1"/>
          <w:specVanish/>
        </w:rPr>
      </w:pPr>
      <w:r w:rsidRPr="0089064A">
        <w:rPr>
          <w:rFonts w:cs="Arial"/>
          <w:color w:val="000000" w:themeColor="text1"/>
        </w:rPr>
        <w:t>A person is not to be treated as unable to make a decision merely because he makes an unwise decision.</w:t>
      </w:r>
    </w:p>
    <w:p w:rsidR="001B105F" w:rsidRPr="0089064A" w:rsidRDefault="00DE0210" w:rsidP="00263CFE">
      <w:pPr>
        <w:pStyle w:val="ListParagraph"/>
        <w:numPr>
          <w:ilvl w:val="0"/>
          <w:numId w:val="8"/>
        </w:numPr>
        <w:shd w:val="clear" w:color="auto" w:fill="FFFFFF"/>
        <w:spacing w:line="336" w:lineRule="auto"/>
        <w:jc w:val="both"/>
        <w:rPr>
          <w:rFonts w:cs="Arial"/>
          <w:color w:val="000000" w:themeColor="text1"/>
          <w:specVanish/>
        </w:rPr>
      </w:pPr>
      <w:r w:rsidRPr="0089064A">
        <w:rPr>
          <w:rFonts w:cs="Arial"/>
          <w:color w:val="000000" w:themeColor="text1"/>
        </w:rPr>
        <w:t>An act done</w:t>
      </w:r>
      <w:r w:rsidRPr="0089064A">
        <w:rPr>
          <w:rFonts w:cs="Arial"/>
          <w:color w:val="000000" w:themeColor="text1"/>
        </w:rPr>
        <w:t>, or decision made, under this Act for or on behalf of a person who lacks capacity must be done, or made, in his best interests.</w:t>
      </w:r>
    </w:p>
    <w:p w:rsidR="001B105F" w:rsidRPr="0089064A" w:rsidRDefault="00DE0210" w:rsidP="00263CFE">
      <w:pPr>
        <w:pStyle w:val="ListParagraph"/>
        <w:numPr>
          <w:ilvl w:val="0"/>
          <w:numId w:val="8"/>
        </w:numPr>
        <w:shd w:val="clear" w:color="auto" w:fill="FFFFFF"/>
        <w:spacing w:line="336" w:lineRule="auto"/>
        <w:jc w:val="both"/>
        <w:rPr>
          <w:rFonts w:cs="Arial"/>
          <w:color w:val="000000" w:themeColor="text1"/>
        </w:rPr>
      </w:pPr>
      <w:r w:rsidRPr="0089064A">
        <w:rPr>
          <w:rFonts w:cs="Arial"/>
          <w:color w:val="000000" w:themeColor="text1"/>
        </w:rPr>
        <w:t>Before the act is done, or the decision is made, regard must be had to whether the purpose for which it is needed can be as eff</w:t>
      </w:r>
      <w:r w:rsidRPr="0089064A">
        <w:rPr>
          <w:rFonts w:cs="Arial"/>
          <w:color w:val="000000" w:themeColor="text1"/>
        </w:rPr>
        <w:t>ectively achieved in a way that is less restrictive of the person's rights and freedom of action.</w:t>
      </w:r>
    </w:p>
    <w:p w:rsidR="001B105F" w:rsidRDefault="00DE0210" w:rsidP="00263CFE">
      <w:pPr>
        <w:pStyle w:val="Default"/>
        <w:jc w:val="both"/>
        <w:rPr>
          <w:sz w:val="22"/>
          <w:szCs w:val="22"/>
        </w:rPr>
      </w:pPr>
    </w:p>
    <w:p w:rsidR="00C33A67"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A person may lack capacity if at the time they are unable to make a decision for themselves in relation to the matter, because of an impairment or disturbanc</w:t>
      </w:r>
      <w:r w:rsidRPr="0089064A">
        <w:rPr>
          <w:rFonts w:ascii="Arial" w:hAnsi="Arial" w:cs="Arial"/>
          <w:color w:val="000000" w:themeColor="text1"/>
        </w:rPr>
        <w:t xml:space="preserve">e that is permanent or temporary. </w:t>
      </w:r>
    </w:p>
    <w:p w:rsidR="00501A94" w:rsidRPr="0089064A" w:rsidRDefault="00DE0210" w:rsidP="00263CFE">
      <w:pPr>
        <w:shd w:val="clear" w:color="auto" w:fill="FFFFFF"/>
        <w:spacing w:after="0" w:line="336" w:lineRule="auto"/>
        <w:jc w:val="both"/>
        <w:rPr>
          <w:rFonts w:ascii="Arial" w:hAnsi="Arial" w:cs="Arial"/>
          <w:color w:val="000000" w:themeColor="text1"/>
        </w:rPr>
      </w:pPr>
    </w:p>
    <w:p w:rsidR="00977DD1"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 xml:space="preserve">When a person’s self-neglecting behaviour poses a serious risk to their health and safety, professional intervention may be required.  Emergency first responders will need to make time-specific decisions, based upon the </w:t>
      </w:r>
      <w:r w:rsidRPr="0089064A">
        <w:rPr>
          <w:rFonts w:ascii="Arial" w:hAnsi="Arial" w:cs="Arial"/>
          <w:color w:val="000000" w:themeColor="text1"/>
        </w:rPr>
        <w:t>facts presented and the urgency of the risks to individuals, in line with legislation and their organisation's own protocols. On the occasion that officers are called to incidents of an individual requiring support and where high risk self-neglect is ident</w:t>
      </w:r>
      <w:r w:rsidRPr="0089064A">
        <w:rPr>
          <w:rFonts w:ascii="Arial" w:hAnsi="Arial" w:cs="Arial"/>
          <w:color w:val="000000" w:themeColor="text1"/>
        </w:rPr>
        <w:t>ified, they will make decisions as to the immediate safeguarding requirements, based upon the vulnerability of the individual presented at that time. They will respond appropriately in that moment and refer to other agencies for support and further assista</w:t>
      </w:r>
      <w:r w:rsidRPr="0089064A">
        <w:rPr>
          <w:rFonts w:ascii="Arial" w:hAnsi="Arial" w:cs="Arial"/>
          <w:color w:val="000000" w:themeColor="text1"/>
        </w:rPr>
        <w:t>nce, as required, which may include formal assessments in relation to whether an individual has capacity to make specific decisions regarding their self-neglecting behaviour.</w:t>
      </w:r>
    </w:p>
    <w:p w:rsidR="00501A94" w:rsidRPr="0089064A" w:rsidRDefault="00DE0210" w:rsidP="00263CFE">
      <w:pPr>
        <w:shd w:val="clear" w:color="auto" w:fill="FFFFFF"/>
        <w:spacing w:after="0" w:line="336" w:lineRule="auto"/>
        <w:jc w:val="both"/>
        <w:rPr>
          <w:rFonts w:ascii="Arial" w:hAnsi="Arial" w:cs="Arial"/>
          <w:color w:val="000000" w:themeColor="text1"/>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With the exception of statutory requirements, the intervention or action propose</w:t>
      </w:r>
      <w:r w:rsidRPr="0089064A">
        <w:rPr>
          <w:rFonts w:ascii="Arial" w:hAnsi="Arial" w:cs="Arial"/>
          <w:color w:val="000000" w:themeColor="text1"/>
        </w:rPr>
        <w:t>d must be with the individual’s consent. In extreme cases, taking statutory principle 3 (above) into account, the very nature of the self-neglect may lead the professional to question whether the adult has capacity to consent to the proposed action or inte</w:t>
      </w:r>
      <w:r w:rsidRPr="0089064A">
        <w:rPr>
          <w:rFonts w:ascii="Arial" w:hAnsi="Arial" w:cs="Arial"/>
          <w:color w:val="000000" w:themeColor="text1"/>
        </w:rPr>
        <w:t>rvention and trigger a decision-specific capacity assessment, which should be recorded appropriately. All interventions must be undertaken in accordance with the 5 statutory principles and using the ‘two stage’ test of capacity (see MCA Code of Practice 4.</w:t>
      </w:r>
      <w:r w:rsidRPr="0089064A">
        <w:rPr>
          <w:rFonts w:ascii="Arial" w:hAnsi="Arial" w:cs="Arial"/>
          <w:color w:val="000000" w:themeColor="text1"/>
        </w:rPr>
        <w:t xml:space="preserve">11 – 4.25). </w:t>
      </w:r>
    </w:p>
    <w:p w:rsidR="001B105F" w:rsidRPr="0089064A" w:rsidRDefault="00DE0210" w:rsidP="00263CFE">
      <w:pPr>
        <w:shd w:val="clear" w:color="auto" w:fill="FFFFFF"/>
        <w:spacing w:after="0" w:line="336" w:lineRule="auto"/>
        <w:jc w:val="both"/>
        <w:rPr>
          <w:rFonts w:ascii="Arial" w:hAnsi="Arial" w:cs="Arial"/>
          <w:color w:val="000000" w:themeColor="text1"/>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Care must also be taken to ensure that Article 8 of the European Convention on Human Rights (The right to respect for private and family life) is engaged. Interference with a person’s life must be lawful, necessary and pursue a legitimate aim</w:t>
      </w:r>
      <w:r w:rsidRPr="0089064A">
        <w:rPr>
          <w:rFonts w:ascii="Arial" w:hAnsi="Arial" w:cs="Arial"/>
          <w:color w:val="000000" w:themeColor="text1"/>
        </w:rPr>
        <w:t xml:space="preserve">. </w:t>
      </w:r>
    </w:p>
    <w:p w:rsidR="003D4C1F" w:rsidRDefault="00DE0210" w:rsidP="00263CFE">
      <w:pPr>
        <w:pStyle w:val="Default"/>
        <w:jc w:val="both"/>
        <w:rPr>
          <w:sz w:val="22"/>
          <w:szCs w:val="22"/>
        </w:rPr>
      </w:pPr>
    </w:p>
    <w:p w:rsidR="003D4C1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Capacity assessment is time and decision specific and each decision must be considered separately. Capacity to consent to or refuse intervention or treatment must refer to a particular decision. If, when discussing with someone your concerns around iss</w:t>
      </w:r>
      <w:r w:rsidRPr="0089064A">
        <w:rPr>
          <w:rFonts w:ascii="Arial" w:hAnsi="Arial" w:cs="Arial"/>
          <w:color w:val="000000" w:themeColor="text1"/>
        </w:rPr>
        <w:t xml:space="preserve">ues of Self-neglect the individual doesn’t seem to understand what your concerns are or the risks involved, then they </w:t>
      </w:r>
      <w:r w:rsidRPr="0089064A">
        <w:rPr>
          <w:rFonts w:ascii="Arial" w:hAnsi="Arial" w:cs="Arial"/>
          <w:b/>
          <w:color w:val="000000" w:themeColor="text1"/>
        </w:rPr>
        <w:t>may</w:t>
      </w:r>
      <w:r w:rsidRPr="0089064A">
        <w:rPr>
          <w:rFonts w:ascii="Arial" w:hAnsi="Arial" w:cs="Arial"/>
          <w:color w:val="000000" w:themeColor="text1"/>
        </w:rPr>
        <w:t xml:space="preserve"> lack capacity to make decisions about this and consideration would then need to be given as to whether to refer to other agencies, so </w:t>
      </w:r>
      <w:r w:rsidRPr="0089064A">
        <w:rPr>
          <w:rFonts w:ascii="Arial" w:hAnsi="Arial" w:cs="Arial"/>
          <w:color w:val="000000" w:themeColor="text1"/>
        </w:rPr>
        <w:t xml:space="preserve">that a formal Mental Capacity Assessment and Best Interest process could be undertaken. Individuals should receive support to help them make decisions and it is important to take all reasonable steps to help them make a decision. </w:t>
      </w:r>
      <w:r w:rsidRPr="0089064A">
        <w:rPr>
          <w:rFonts w:ascii="Arial" w:hAnsi="Arial" w:cs="Arial"/>
          <w:b/>
          <w:color w:val="000000" w:themeColor="text1"/>
        </w:rPr>
        <w:t>If the person lacks capaci</w:t>
      </w:r>
      <w:r w:rsidRPr="0089064A">
        <w:rPr>
          <w:rFonts w:ascii="Arial" w:hAnsi="Arial" w:cs="Arial"/>
          <w:b/>
          <w:color w:val="000000" w:themeColor="text1"/>
        </w:rPr>
        <w:t>ty, this framework may not apply – see section on MCA</w:t>
      </w:r>
      <w:r>
        <w:rPr>
          <w:rFonts w:ascii="Arial" w:hAnsi="Arial" w:cs="Arial"/>
          <w:b/>
          <w:color w:val="000000" w:themeColor="text1"/>
        </w:rPr>
        <w:t>.</w:t>
      </w:r>
    </w:p>
    <w:p w:rsidR="0089064A" w:rsidRDefault="00DE0210" w:rsidP="00263CFE">
      <w:pPr>
        <w:shd w:val="clear" w:color="auto" w:fill="FFFFFF"/>
        <w:spacing w:after="0" w:line="336" w:lineRule="auto"/>
        <w:jc w:val="both"/>
        <w:rPr>
          <w:rFonts w:ascii="Arial" w:hAnsi="Arial" w:cs="Arial"/>
          <w:color w:val="000000" w:themeColor="text1"/>
        </w:rPr>
      </w:pPr>
    </w:p>
    <w:p w:rsidR="001B105F" w:rsidRPr="00F55456"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 xml:space="preserve">Where the intervention of a single organisation has not been successful in addressing the concern, nor the management of the risk itself, then the next step will be to </w:t>
      </w:r>
      <w:r w:rsidRPr="00916E93">
        <w:rPr>
          <w:rFonts w:ascii="Arial" w:hAnsi="Arial" w:cs="Arial"/>
          <w:color w:val="000000" w:themeColor="text1"/>
        </w:rPr>
        <w:t>consider multi-agency involvemen</w:t>
      </w:r>
      <w:r w:rsidRPr="00916E93">
        <w:rPr>
          <w:rFonts w:ascii="Arial" w:hAnsi="Arial" w:cs="Arial"/>
          <w:color w:val="000000" w:themeColor="text1"/>
        </w:rPr>
        <w:t>t. Initially this may be involvement of the local Early Action/Integrated Neighbourhood</w:t>
      </w:r>
      <w:r>
        <w:rPr>
          <w:rFonts w:ascii="Arial" w:hAnsi="Arial" w:cs="Arial"/>
          <w:color w:val="000000" w:themeColor="text1"/>
        </w:rPr>
        <w:t>/Neighbourhood Team</w:t>
      </w:r>
      <w:r w:rsidRPr="00916E93">
        <w:rPr>
          <w:rFonts w:ascii="Arial" w:hAnsi="Arial" w:cs="Arial"/>
          <w:color w:val="000000" w:themeColor="text1"/>
        </w:rPr>
        <w:t xml:space="preserve"> meeting for discussion/support/further action, if low to medium levels of risk concerned. Identify who the best person from your agency needs to be i</w:t>
      </w:r>
      <w:r w:rsidRPr="00916E93">
        <w:rPr>
          <w:rFonts w:ascii="Arial" w:hAnsi="Arial" w:cs="Arial"/>
          <w:color w:val="000000" w:themeColor="text1"/>
        </w:rPr>
        <w:t xml:space="preserve">nvolved/progress work and attend the meeting. If this action does not enable engagement/work with the individual to be undertaken to mitigate the risks identified, or the risk is considered to be such that severe injury and/or death is an issue, then this </w:t>
      </w:r>
      <w:r w:rsidRPr="00916E93">
        <w:rPr>
          <w:rFonts w:ascii="Arial" w:hAnsi="Arial" w:cs="Arial"/>
          <w:color w:val="000000" w:themeColor="text1"/>
        </w:rPr>
        <w:t>framework should be followed.</w:t>
      </w:r>
      <w:r w:rsidRPr="00F55456">
        <w:rPr>
          <w:rFonts w:ascii="Arial" w:hAnsi="Arial" w:cs="Arial"/>
          <w:color w:val="000000" w:themeColor="text1"/>
        </w:rPr>
        <w:t xml:space="preserve"> </w:t>
      </w:r>
    </w:p>
    <w:p w:rsidR="001B105F" w:rsidRPr="0089064A" w:rsidRDefault="00DE0210" w:rsidP="00263CFE">
      <w:pPr>
        <w:shd w:val="clear" w:color="auto" w:fill="FFFFFF"/>
        <w:spacing w:after="0" w:line="336" w:lineRule="auto"/>
        <w:jc w:val="both"/>
        <w:rPr>
          <w:rFonts w:ascii="Arial" w:hAnsi="Arial" w:cs="Arial"/>
          <w:color w:val="000000" w:themeColor="text1"/>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This will enable the relevant LSAB agencies to address the concerns directly within a multi-disciplinary framework.</w:t>
      </w:r>
    </w:p>
    <w:p w:rsidR="001B105F" w:rsidRPr="0089064A" w:rsidRDefault="00DE0210" w:rsidP="00263CFE">
      <w:pPr>
        <w:shd w:val="clear" w:color="auto" w:fill="FFFFFF"/>
        <w:spacing w:after="0" w:line="336" w:lineRule="auto"/>
        <w:jc w:val="both"/>
        <w:rPr>
          <w:rFonts w:ascii="Arial" w:hAnsi="Arial" w:cs="Arial"/>
          <w:color w:val="000000" w:themeColor="text1"/>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 xml:space="preserve">This framework should be referred to for the management of cases where an adult is at </w:t>
      </w:r>
      <w:r w:rsidRPr="0089064A">
        <w:rPr>
          <w:rFonts w:ascii="Arial" w:hAnsi="Arial" w:cs="Arial"/>
          <w:b/>
          <w:color w:val="000000" w:themeColor="text1"/>
        </w:rPr>
        <w:t>high risk of severe i</w:t>
      </w:r>
      <w:r w:rsidRPr="0089064A">
        <w:rPr>
          <w:rFonts w:ascii="Arial" w:hAnsi="Arial" w:cs="Arial"/>
          <w:b/>
          <w:color w:val="000000" w:themeColor="text1"/>
        </w:rPr>
        <w:t>njury and/or death due</w:t>
      </w:r>
      <w:r w:rsidRPr="0089064A">
        <w:rPr>
          <w:rFonts w:ascii="Arial" w:hAnsi="Arial" w:cs="Arial"/>
          <w:color w:val="000000" w:themeColor="text1"/>
        </w:rPr>
        <w:t xml:space="preserve"> to lifestyle/self-neglect/refusal to engage with services (see 'Escalation Tool' </w:t>
      </w:r>
      <w:r>
        <w:rPr>
          <w:rFonts w:ascii="Arial" w:hAnsi="Arial" w:cs="Arial"/>
          <w:color w:val="000000" w:themeColor="text1"/>
        </w:rPr>
        <w:t>in supporting information, page 10</w:t>
      </w:r>
      <w:r w:rsidRPr="0089064A">
        <w:rPr>
          <w:rFonts w:ascii="Arial" w:hAnsi="Arial" w:cs="Arial"/>
          <w:color w:val="000000" w:themeColor="text1"/>
        </w:rPr>
        <w:t>) and the criteria contained within this framework applies. It is designed to ensure effective multi-agency working an</w:t>
      </w:r>
      <w:r w:rsidRPr="0089064A">
        <w:rPr>
          <w:rFonts w:ascii="Arial" w:hAnsi="Arial" w:cs="Arial"/>
          <w:color w:val="000000" w:themeColor="text1"/>
        </w:rPr>
        <w:t>d decision making.</w:t>
      </w:r>
    </w:p>
    <w:p w:rsidR="001B105F" w:rsidRPr="00F55456" w:rsidRDefault="00DE0210" w:rsidP="00263CFE">
      <w:pPr>
        <w:spacing w:after="0"/>
        <w:jc w:val="both"/>
        <w:rPr>
          <w:rFonts w:ascii="Arial" w:hAnsi="Arial" w:cs="Arial"/>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b/>
          <w:color w:val="000000" w:themeColor="text1"/>
        </w:rPr>
        <w:t>Please note</w:t>
      </w:r>
      <w:r w:rsidRPr="0089064A">
        <w:rPr>
          <w:rFonts w:ascii="Arial" w:hAnsi="Arial" w:cs="Arial"/>
          <w:color w:val="000000" w:themeColor="text1"/>
        </w:rPr>
        <w:t xml:space="preserve">: This framework should be referred to where there are </w:t>
      </w:r>
      <w:r w:rsidRPr="0089064A">
        <w:rPr>
          <w:rFonts w:ascii="Arial" w:hAnsi="Arial" w:cs="Arial"/>
          <w:b/>
          <w:color w:val="000000" w:themeColor="text1"/>
          <w:u w:val="single"/>
        </w:rPr>
        <w:t>significant self-neglect concerns, there is no perpetrator and the adult at risk has mental capacity to make choices about their care and support.</w:t>
      </w:r>
      <w:r w:rsidRPr="0089064A">
        <w:rPr>
          <w:rFonts w:ascii="Arial" w:hAnsi="Arial" w:cs="Arial"/>
          <w:color w:val="000000" w:themeColor="text1"/>
        </w:rPr>
        <w:t xml:space="preserve"> We would envisage this framework only therefore being used for a small number of individuals, where the risk cannot be resolved by local multi-agency working. This will respect the person's right to make unwise choices where they have capacity, in relatio</w:t>
      </w:r>
      <w:r w:rsidRPr="0089064A">
        <w:rPr>
          <w:rFonts w:ascii="Arial" w:hAnsi="Arial" w:cs="Arial"/>
          <w:color w:val="000000" w:themeColor="text1"/>
        </w:rPr>
        <w:t>n to the specific decision.</w:t>
      </w:r>
    </w:p>
    <w:p w:rsidR="001B105F" w:rsidRPr="0089064A" w:rsidRDefault="00DE0210" w:rsidP="00263CFE">
      <w:pPr>
        <w:shd w:val="clear" w:color="auto" w:fill="FFFFFF"/>
        <w:spacing w:after="0" w:line="336" w:lineRule="auto"/>
        <w:jc w:val="both"/>
        <w:rPr>
          <w:rFonts w:ascii="Arial" w:hAnsi="Arial" w:cs="Arial"/>
          <w:color w:val="000000" w:themeColor="text1"/>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It is recognised that some people who self-neglect regularly use emergency services inappropriately and can make high demand on services on a day to day basis. This high usage or inappropriate use of services can be an indicato</w:t>
      </w:r>
      <w:r w:rsidRPr="0089064A">
        <w:rPr>
          <w:rFonts w:ascii="Arial" w:hAnsi="Arial" w:cs="Arial"/>
          <w:color w:val="000000" w:themeColor="text1"/>
        </w:rPr>
        <w:t>r of vulnerability, which should be collated by agencies and the appropriate intervention considered.</w:t>
      </w:r>
    </w:p>
    <w:p w:rsidR="001B105F" w:rsidRPr="00F55456" w:rsidRDefault="00DE0210" w:rsidP="00263CFE">
      <w:pPr>
        <w:spacing w:after="0"/>
        <w:jc w:val="both"/>
        <w:rPr>
          <w:rFonts w:ascii="Arial" w:hAnsi="Arial" w:cs="Arial"/>
        </w:rPr>
      </w:pPr>
    </w:p>
    <w:p w:rsidR="001B105F" w:rsidRPr="0089064A" w:rsidRDefault="00DE0210" w:rsidP="00263CFE">
      <w:pPr>
        <w:pStyle w:val="Heading2"/>
        <w:jc w:val="both"/>
      </w:pPr>
      <w:bookmarkStart w:id="4" w:name="_Toc532810294"/>
      <w:r w:rsidRPr="0089064A">
        <w:lastRenderedPageBreak/>
        <w:t>Exclusions</w:t>
      </w:r>
      <w:bookmarkEnd w:id="4"/>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This framework does not include:</w:t>
      </w:r>
    </w:p>
    <w:p w:rsidR="001B105F" w:rsidRPr="00F55456" w:rsidRDefault="00DE0210" w:rsidP="00263CFE">
      <w:pPr>
        <w:spacing w:after="0"/>
        <w:jc w:val="both"/>
        <w:rPr>
          <w:rFonts w:ascii="Arial" w:hAnsi="Arial" w:cs="Arial"/>
        </w:rPr>
      </w:pP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Situations where people do not have the mental capacity to make decisions about their care and support, in which case the Mental Capacity Act and associated Best Interests processes should be followed.</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Situations where people have significant mental health</w:t>
      </w:r>
      <w:r w:rsidRPr="0089064A">
        <w:rPr>
          <w:rFonts w:cs="Arial"/>
          <w:color w:val="000000" w:themeColor="text1"/>
        </w:rPr>
        <w:t xml:space="preserve"> issues and should more appropriately be assisted by mental health teams and use of the Mental Health Act.</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Situations where self-neglect is associated with the action of, neglect by, or influence of, a third party; in which case a referral should be made u</w:t>
      </w:r>
      <w:r w:rsidRPr="0089064A">
        <w:rPr>
          <w:rFonts w:cs="Arial"/>
          <w:color w:val="000000" w:themeColor="text1"/>
        </w:rPr>
        <w:t>nder the safeguarding adult procedures.</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Situations associated with deliberate self-harm</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Situations where children at risk or in need should be referred to Children's Services</w:t>
      </w:r>
    </w:p>
    <w:p w:rsidR="00501A94" w:rsidRDefault="00DE0210" w:rsidP="00263CFE">
      <w:pPr>
        <w:shd w:val="clear" w:color="auto" w:fill="FFFFFF"/>
        <w:spacing w:after="0" w:line="336" w:lineRule="auto"/>
        <w:jc w:val="both"/>
        <w:rPr>
          <w:rFonts w:ascii="Arial" w:hAnsi="Arial" w:cs="Arial"/>
          <w:b/>
          <w:color w:val="000000" w:themeColor="text1"/>
          <w:u w:val="single"/>
        </w:rPr>
      </w:pPr>
    </w:p>
    <w:p w:rsidR="001B105F" w:rsidRPr="0089064A" w:rsidRDefault="00DE0210" w:rsidP="00263CFE">
      <w:pPr>
        <w:pStyle w:val="Heading2"/>
        <w:jc w:val="both"/>
      </w:pPr>
      <w:bookmarkStart w:id="5" w:name="_Toc532810295"/>
      <w:r w:rsidRPr="0089064A">
        <w:t>Information Sharing</w:t>
      </w:r>
      <w:bookmarkEnd w:id="5"/>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Information sharing within these procedures should be in lin</w:t>
      </w:r>
      <w:r w:rsidRPr="0089064A">
        <w:rPr>
          <w:rFonts w:ascii="Arial" w:hAnsi="Arial" w:cs="Arial"/>
          <w:color w:val="000000" w:themeColor="text1"/>
        </w:rPr>
        <w:t xml:space="preserve">e with the principle of information sharing within Lancashire Safeguarding Adults Procedures, the Care Act 2014, the Care and Support Statutory Guidance 2018 and General Data Protection Regulations 2018. Practitioners must </w:t>
      </w:r>
      <w:r w:rsidRPr="0089064A">
        <w:rPr>
          <w:rFonts w:ascii="Arial" w:hAnsi="Arial" w:cs="Arial"/>
          <w:b/>
          <w:color w:val="000000" w:themeColor="text1"/>
        </w:rPr>
        <w:t>always</w:t>
      </w:r>
      <w:r w:rsidRPr="0089064A">
        <w:rPr>
          <w:rFonts w:ascii="Arial" w:hAnsi="Arial" w:cs="Arial"/>
          <w:color w:val="000000" w:themeColor="text1"/>
        </w:rPr>
        <w:t xml:space="preserve"> seek the consent of the ad</w:t>
      </w:r>
      <w:r w:rsidRPr="0089064A">
        <w:rPr>
          <w:rFonts w:ascii="Arial" w:hAnsi="Arial" w:cs="Arial"/>
          <w:color w:val="000000" w:themeColor="text1"/>
        </w:rPr>
        <w:t>ult at the heart of the concern before taking action or sharing information. However, it should be explained that consent could be overridden if the risk is significant (serious harm, injury or death).</w:t>
      </w:r>
    </w:p>
    <w:p w:rsidR="0089064A" w:rsidRDefault="00DE0210" w:rsidP="00263CFE">
      <w:pPr>
        <w:shd w:val="clear" w:color="auto" w:fill="FFFFFF"/>
        <w:spacing w:after="0" w:line="336" w:lineRule="auto"/>
        <w:jc w:val="both"/>
        <w:rPr>
          <w:rFonts w:ascii="Arial" w:hAnsi="Arial" w:cs="Arial"/>
          <w:color w:val="000000" w:themeColor="text1"/>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If there is any doubt about whether to share informat</w:t>
      </w:r>
      <w:r w:rsidRPr="0089064A">
        <w:rPr>
          <w:rFonts w:ascii="Arial" w:hAnsi="Arial" w:cs="Arial"/>
          <w:color w:val="000000" w:themeColor="text1"/>
        </w:rPr>
        <w:t>ion, advice should be obtained from your organisation's information governance lead.  Things to consider are:</w:t>
      </w:r>
    </w:p>
    <w:p w:rsidR="001B105F" w:rsidRPr="00F55456" w:rsidRDefault="00DE0210" w:rsidP="00263CFE">
      <w:pPr>
        <w:autoSpaceDE w:val="0"/>
        <w:autoSpaceDN w:val="0"/>
        <w:adjustRightInd w:val="0"/>
        <w:spacing w:after="0"/>
        <w:jc w:val="both"/>
        <w:rPr>
          <w:rFonts w:ascii="Arial" w:hAnsi="Arial" w:cs="Arial"/>
          <w:color w:val="000000"/>
        </w:rPr>
      </w:pP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 xml:space="preserve">Adequate recording; has the consent of the adult been obtained and if not why not </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What information was shared and with whom, how was the request</w:t>
      </w:r>
      <w:r w:rsidRPr="0089064A">
        <w:rPr>
          <w:rFonts w:cs="Arial"/>
          <w:color w:val="000000" w:themeColor="text1"/>
        </w:rPr>
        <w:t xml:space="preserve"> received and recorded, and how was the decision made to share the information </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 xml:space="preserve">If third party information is involved, was consent obtained and if not, which exemptions are applied </w:t>
      </w:r>
    </w:p>
    <w:p w:rsidR="001B105F" w:rsidRPr="0089064A" w:rsidRDefault="00DE0210" w:rsidP="00263CFE">
      <w:pPr>
        <w:pStyle w:val="ListParagraph"/>
        <w:numPr>
          <w:ilvl w:val="0"/>
          <w:numId w:val="7"/>
        </w:numPr>
        <w:shd w:val="clear" w:color="auto" w:fill="FFFFFF"/>
        <w:spacing w:line="336" w:lineRule="auto"/>
        <w:jc w:val="both"/>
        <w:rPr>
          <w:rFonts w:cs="Arial"/>
          <w:color w:val="000000" w:themeColor="text1"/>
        </w:rPr>
      </w:pPr>
      <w:r w:rsidRPr="0089064A">
        <w:rPr>
          <w:rFonts w:cs="Arial"/>
          <w:color w:val="000000" w:themeColor="text1"/>
        </w:rPr>
        <w:t>All agencies involved must follow the appropriate statutes and guidance.</w:t>
      </w:r>
    </w:p>
    <w:p w:rsidR="001B105F" w:rsidRPr="00F55456" w:rsidRDefault="00DE0210" w:rsidP="00263CFE">
      <w:pPr>
        <w:autoSpaceDE w:val="0"/>
        <w:autoSpaceDN w:val="0"/>
        <w:adjustRightInd w:val="0"/>
        <w:spacing w:after="0"/>
        <w:jc w:val="both"/>
        <w:rPr>
          <w:rFonts w:ascii="Arial" w:hAnsi="Arial" w:cs="Arial"/>
          <w:color w:val="000000"/>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Under the General Data Protection Regulations, organisations have the responsibility to ensure that personal information is processed lawfully and fairly.  All adults have a right to view any information held about them. Practitioners should consider this</w:t>
      </w:r>
      <w:r w:rsidRPr="0089064A">
        <w:rPr>
          <w:rFonts w:ascii="Arial" w:hAnsi="Arial" w:cs="Arial"/>
          <w:color w:val="000000" w:themeColor="text1"/>
        </w:rPr>
        <w:t xml:space="preserve"> when they are recording information about the adult. </w:t>
      </w:r>
    </w:p>
    <w:p w:rsidR="00501A94" w:rsidRDefault="00DE0210" w:rsidP="00263CFE">
      <w:pPr>
        <w:shd w:val="clear" w:color="auto" w:fill="FFFFFF"/>
        <w:spacing w:after="0" w:line="336" w:lineRule="auto"/>
        <w:jc w:val="both"/>
        <w:rPr>
          <w:rFonts w:ascii="Arial" w:hAnsi="Arial" w:cs="Arial"/>
          <w:b/>
          <w:color w:val="000000" w:themeColor="text1"/>
          <w:u w:val="single"/>
        </w:rPr>
      </w:pPr>
    </w:p>
    <w:p w:rsidR="001B105F" w:rsidRPr="0089064A" w:rsidRDefault="00DE0210" w:rsidP="00263CFE">
      <w:pPr>
        <w:pStyle w:val="Heading2"/>
        <w:jc w:val="both"/>
      </w:pPr>
      <w:bookmarkStart w:id="6" w:name="_Toc532810296"/>
      <w:r w:rsidRPr="0089064A">
        <w:t>Consent</w:t>
      </w:r>
      <w:bookmarkEnd w:id="6"/>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t>Wherever possible the person should be informed by the referring agency that this process is being followed and invite the person to the meeting. However, it is recognised that they may not wi</w:t>
      </w:r>
      <w:r w:rsidRPr="0089064A">
        <w:rPr>
          <w:rFonts w:ascii="Arial" w:hAnsi="Arial" w:cs="Arial"/>
          <w:color w:val="000000" w:themeColor="text1"/>
        </w:rPr>
        <w:t xml:space="preserve">sh, or be able, to attend; in which case the referring agency and/or advocate should ensure that the person's views are </w:t>
      </w:r>
      <w:r w:rsidRPr="00F55456">
        <w:rPr>
          <w:rFonts w:ascii="Arial" w:hAnsi="Arial" w:cs="Arial"/>
          <w:color w:val="000000" w:themeColor="text1"/>
        </w:rPr>
        <w:t>captured.</w:t>
      </w:r>
    </w:p>
    <w:p w:rsidR="001B105F" w:rsidRPr="00F55456" w:rsidRDefault="00DE0210" w:rsidP="00263CFE">
      <w:pPr>
        <w:spacing w:after="0"/>
        <w:jc w:val="both"/>
        <w:rPr>
          <w:rFonts w:ascii="Arial" w:hAnsi="Arial" w:cs="Arial"/>
        </w:rPr>
      </w:pPr>
    </w:p>
    <w:p w:rsidR="001B105F" w:rsidRPr="0089064A" w:rsidRDefault="00DE0210" w:rsidP="00263CFE">
      <w:pPr>
        <w:shd w:val="clear" w:color="auto" w:fill="FFFFFF"/>
        <w:spacing w:after="0" w:line="336" w:lineRule="auto"/>
        <w:jc w:val="both"/>
        <w:rPr>
          <w:rFonts w:ascii="Arial" w:hAnsi="Arial" w:cs="Arial"/>
          <w:color w:val="000000" w:themeColor="text1"/>
        </w:rPr>
      </w:pPr>
      <w:r w:rsidRPr="0089064A">
        <w:rPr>
          <w:rFonts w:ascii="Arial" w:hAnsi="Arial" w:cs="Arial"/>
          <w:color w:val="000000" w:themeColor="text1"/>
        </w:rPr>
        <w:lastRenderedPageBreak/>
        <w:t xml:space="preserve">It is recognised that refusal to engage with services may be a concern and therefore </w:t>
      </w:r>
      <w:r w:rsidRPr="00C14947">
        <w:rPr>
          <w:rFonts w:ascii="Arial" w:hAnsi="Arial" w:cs="Arial"/>
          <w:color w:val="000000" w:themeColor="text1"/>
          <w:u w:val="single"/>
        </w:rPr>
        <w:t xml:space="preserve">referrals to relevant organisations </w:t>
      </w:r>
      <w:r w:rsidRPr="00C14947">
        <w:rPr>
          <w:rFonts w:ascii="Arial" w:hAnsi="Arial" w:cs="Arial"/>
          <w:color w:val="000000" w:themeColor="text1"/>
          <w:u w:val="single"/>
        </w:rPr>
        <w:t>should not be delayed because it is impossible or difficult to engage</w:t>
      </w:r>
      <w:r w:rsidRPr="0089064A">
        <w:rPr>
          <w:rFonts w:ascii="Arial" w:hAnsi="Arial" w:cs="Arial"/>
          <w:color w:val="000000" w:themeColor="text1"/>
        </w:rPr>
        <w:t xml:space="preserve"> with the individual. Consent should be sought, but a decision to follow the framework without consent may be justified where the person and/or others are at </w:t>
      </w:r>
      <w:r w:rsidRPr="00C14947">
        <w:rPr>
          <w:rFonts w:ascii="Arial" w:hAnsi="Arial" w:cs="Arial"/>
          <w:b/>
          <w:color w:val="000000" w:themeColor="text1"/>
        </w:rPr>
        <w:t xml:space="preserve">risk of serious harm, injury </w:t>
      </w:r>
      <w:r w:rsidRPr="00C14947">
        <w:rPr>
          <w:rFonts w:ascii="Arial" w:hAnsi="Arial" w:cs="Arial"/>
          <w:b/>
          <w:color w:val="000000" w:themeColor="text1"/>
        </w:rPr>
        <w:t>or death</w:t>
      </w:r>
      <w:r w:rsidRPr="0089064A">
        <w:rPr>
          <w:rFonts w:ascii="Arial" w:hAnsi="Arial" w:cs="Arial"/>
          <w:color w:val="000000" w:themeColor="text1"/>
        </w:rPr>
        <w:t xml:space="preserve">. This decision should be recorded on the person's records. Referrals to LSAB partner agencies of high risk cases should not be delayed because it </w:t>
      </w:r>
      <w:r w:rsidRPr="00F55456">
        <w:rPr>
          <w:rFonts w:ascii="Arial" w:hAnsi="Arial" w:cs="Arial"/>
          <w:color w:val="000000" w:themeColor="text1"/>
        </w:rPr>
        <w:t xml:space="preserve">has not been possible to effectively </w:t>
      </w:r>
      <w:r w:rsidRPr="0089064A">
        <w:rPr>
          <w:rFonts w:ascii="Arial" w:hAnsi="Arial" w:cs="Arial"/>
          <w:color w:val="000000" w:themeColor="text1"/>
        </w:rPr>
        <w:t>engage with the individual.</w:t>
      </w:r>
    </w:p>
    <w:p w:rsidR="001B105F" w:rsidRPr="00F55456" w:rsidRDefault="00DE0210" w:rsidP="00263CFE">
      <w:pPr>
        <w:spacing w:after="0"/>
        <w:jc w:val="both"/>
        <w:rPr>
          <w:rFonts w:ascii="Arial" w:hAnsi="Arial" w:cs="Arial"/>
        </w:rPr>
      </w:pPr>
    </w:p>
    <w:p w:rsidR="001B105F" w:rsidRPr="00C14947" w:rsidRDefault="00DE0210" w:rsidP="00263CFE">
      <w:pPr>
        <w:pStyle w:val="Heading2"/>
        <w:jc w:val="both"/>
      </w:pPr>
      <w:bookmarkStart w:id="7" w:name="_Toc532810297"/>
      <w:r w:rsidRPr="00C14947">
        <w:t>Multi-Disciplinary Team (MDT) Meeti</w:t>
      </w:r>
      <w:r w:rsidRPr="00C14947">
        <w:t>ng</w:t>
      </w:r>
      <w:bookmarkEnd w:id="7"/>
      <w:r w:rsidRPr="00C14947">
        <w:t xml:space="preserve"> </w:t>
      </w:r>
    </w:p>
    <w:p w:rsidR="001B105F"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 xml:space="preserve">This arrangement would be undertaken </w:t>
      </w:r>
      <w:r w:rsidRPr="00916E93">
        <w:rPr>
          <w:rFonts w:ascii="Arial" w:hAnsi="Arial" w:cs="Arial"/>
          <w:color w:val="000000" w:themeColor="text1"/>
        </w:rPr>
        <w:t>if no resolution from</w:t>
      </w:r>
      <w:r>
        <w:rPr>
          <w:rFonts w:ascii="Arial" w:hAnsi="Arial" w:cs="Arial"/>
          <w:color w:val="000000" w:themeColor="text1"/>
        </w:rPr>
        <w:t xml:space="preserve"> </w:t>
      </w:r>
      <w:r w:rsidRPr="007A7726">
        <w:rPr>
          <w:rFonts w:ascii="Arial" w:hAnsi="Arial" w:cs="Arial"/>
          <w:color w:val="000000" w:themeColor="text1"/>
        </w:rPr>
        <w:t>previous multi-agency working</w:t>
      </w:r>
      <w:r>
        <w:rPr>
          <w:rFonts w:ascii="Arial" w:hAnsi="Arial" w:cs="Arial"/>
          <w:color w:val="000000" w:themeColor="text1"/>
        </w:rPr>
        <w:t xml:space="preserve"> - </w:t>
      </w:r>
      <w:r w:rsidRPr="00916E93">
        <w:rPr>
          <w:rFonts w:ascii="Arial" w:hAnsi="Arial" w:cs="Arial"/>
          <w:color w:val="000000" w:themeColor="text1"/>
        </w:rPr>
        <w:t>Early Actio</w:t>
      </w:r>
      <w:r>
        <w:rPr>
          <w:rFonts w:ascii="Arial" w:hAnsi="Arial" w:cs="Arial"/>
          <w:color w:val="000000" w:themeColor="text1"/>
        </w:rPr>
        <w:t>n Team/Integrated Neighbourhood/Neighbourhood Team</w:t>
      </w:r>
      <w:r w:rsidRPr="00916E93">
        <w:rPr>
          <w:rFonts w:ascii="Arial" w:hAnsi="Arial" w:cs="Arial"/>
          <w:color w:val="000000" w:themeColor="text1"/>
        </w:rPr>
        <w:t xml:space="preserve"> involvement</w:t>
      </w:r>
      <w:r>
        <w:rPr>
          <w:rFonts w:ascii="Arial" w:hAnsi="Arial" w:cs="Arial"/>
          <w:color w:val="000000" w:themeColor="text1"/>
        </w:rPr>
        <w:t xml:space="preserve"> </w:t>
      </w:r>
      <w:r w:rsidRPr="00C14947">
        <w:rPr>
          <w:rFonts w:ascii="Arial" w:hAnsi="Arial" w:cs="Arial"/>
          <w:b/>
          <w:color w:val="000000" w:themeColor="text1"/>
        </w:rPr>
        <w:t>for example</w:t>
      </w:r>
      <w:r>
        <w:rPr>
          <w:rFonts w:ascii="Arial" w:hAnsi="Arial" w:cs="Arial"/>
          <w:color w:val="000000" w:themeColor="text1"/>
        </w:rPr>
        <w:t xml:space="preserve"> – </w:t>
      </w:r>
      <w:r w:rsidRPr="00916E93">
        <w:rPr>
          <w:rFonts w:ascii="Arial" w:hAnsi="Arial" w:cs="Arial"/>
          <w:color w:val="000000" w:themeColor="text1"/>
        </w:rPr>
        <w:t>or</w:t>
      </w:r>
      <w:r>
        <w:rPr>
          <w:rFonts w:ascii="Arial" w:hAnsi="Arial" w:cs="Arial"/>
          <w:color w:val="000000" w:themeColor="text1"/>
        </w:rPr>
        <w:t xml:space="preserve"> there are</w:t>
      </w:r>
      <w:r w:rsidRPr="00916E93">
        <w:rPr>
          <w:rFonts w:ascii="Arial" w:hAnsi="Arial" w:cs="Arial"/>
          <w:color w:val="000000" w:themeColor="text1"/>
        </w:rPr>
        <w:t xml:space="preserve"> significant concerns about the individual's risk of serious </w:t>
      </w:r>
      <w:r w:rsidRPr="00916E93">
        <w:rPr>
          <w:rFonts w:ascii="Arial" w:hAnsi="Arial" w:cs="Arial"/>
          <w:color w:val="000000" w:themeColor="text1"/>
        </w:rPr>
        <w:t>harm, injury or death. The organisation who is best placed to lead on organising this (i.e. one with a statutory responsibility: CCG, Environmental Health, Housing, Local Authority) and is currently involved, would be the most appropriate for organising th</w:t>
      </w:r>
      <w:r w:rsidRPr="00916E93">
        <w:rPr>
          <w:rFonts w:ascii="Arial" w:hAnsi="Arial" w:cs="Arial"/>
          <w:color w:val="000000" w:themeColor="text1"/>
        </w:rPr>
        <w:t>e MDT meeting. This could be identified at the Early Action/Integrated Neighbourhood</w:t>
      </w:r>
      <w:r>
        <w:rPr>
          <w:rFonts w:ascii="Arial" w:hAnsi="Arial" w:cs="Arial"/>
          <w:color w:val="000000" w:themeColor="text1"/>
        </w:rPr>
        <w:t>/Neighbourhood</w:t>
      </w:r>
      <w:r w:rsidRPr="00916E93">
        <w:rPr>
          <w:rFonts w:ascii="Arial" w:hAnsi="Arial" w:cs="Arial"/>
          <w:color w:val="000000" w:themeColor="text1"/>
        </w:rPr>
        <w:t xml:space="preserve"> Team meeting. </w:t>
      </w:r>
    </w:p>
    <w:p w:rsidR="001B105F" w:rsidRPr="00F55456"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b/>
          <w:color w:val="000000" w:themeColor="text1"/>
        </w:rPr>
        <w:t>Note</w:t>
      </w:r>
      <w:r w:rsidRPr="00C14947">
        <w:rPr>
          <w:rFonts w:ascii="Arial" w:hAnsi="Arial" w:cs="Arial"/>
          <w:color w:val="000000" w:themeColor="text1"/>
        </w:rPr>
        <w:t>:</w:t>
      </w:r>
      <w:r w:rsidRPr="00916E93">
        <w:rPr>
          <w:rFonts w:ascii="Arial" w:hAnsi="Arial" w:cs="Arial"/>
          <w:color w:val="000000" w:themeColor="text1"/>
        </w:rPr>
        <w:t xml:space="preserve"> this is the initial meeting, to ensure the relevant organisations are involved; further meetings may have a different Chair, as lead </w:t>
      </w:r>
      <w:r w:rsidRPr="00916E93">
        <w:rPr>
          <w:rFonts w:ascii="Arial" w:hAnsi="Arial" w:cs="Arial"/>
          <w:color w:val="000000" w:themeColor="text1"/>
        </w:rPr>
        <w:t>organisations may change, depending on the need/circumstances of the individual/situation. This would have to be a mutual agreement between current and proposed Chair/organisation.</w:t>
      </w:r>
      <w:r w:rsidRPr="00F55456">
        <w:rPr>
          <w:rFonts w:ascii="Arial" w:hAnsi="Arial" w:cs="Arial"/>
          <w:color w:val="000000" w:themeColor="text1"/>
        </w:rPr>
        <w:t xml:space="preserve"> </w:t>
      </w:r>
    </w:p>
    <w:p w:rsidR="001B105F" w:rsidRDefault="00DE0210" w:rsidP="00263CFE">
      <w:pPr>
        <w:spacing w:after="0"/>
        <w:jc w:val="both"/>
        <w:rPr>
          <w:rFonts w:ascii="Arial" w:hAnsi="Arial" w:cs="Arial"/>
        </w:rPr>
      </w:pPr>
    </w:p>
    <w:p w:rsidR="001B105F" w:rsidRPr="00C14947"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The role of that organisation is:</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Ensure the relevant partners are invite</w:t>
      </w:r>
      <w:r w:rsidRPr="00C14947">
        <w:rPr>
          <w:rFonts w:cs="Arial"/>
          <w:color w:val="000000" w:themeColor="text1"/>
        </w:rPr>
        <w:t>d to address the concern</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Chair the meeting</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Provide a clear summary prior to the meeting for the attendees</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Clarify the roles and responsibilities</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To identify whether an independent advocate is required and to make the necessary referral</w:t>
      </w:r>
    </w:p>
    <w:p w:rsidR="001B105F" w:rsidRPr="00F55456" w:rsidRDefault="00DE0210" w:rsidP="00263CFE">
      <w:pPr>
        <w:pStyle w:val="ListParagraph"/>
        <w:jc w:val="both"/>
        <w:rPr>
          <w:rFonts w:cs="Arial"/>
          <w:color w:val="000000" w:themeColor="text1"/>
          <w:sz w:val="22"/>
          <w:szCs w:val="22"/>
        </w:rPr>
      </w:pPr>
    </w:p>
    <w:p w:rsidR="001B105F" w:rsidRPr="00F55456"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 xml:space="preserve">The responsibility </w:t>
      </w:r>
      <w:r w:rsidRPr="00C14947">
        <w:rPr>
          <w:rFonts w:ascii="Arial" w:hAnsi="Arial" w:cs="Arial"/>
          <w:color w:val="000000" w:themeColor="text1"/>
        </w:rPr>
        <w:t>of the MDT meeting is to:</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Provide expertise to effectively review the case</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Ensure there is full multi-agency sign up and engagement</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Consider risk assessments and risk management</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Look at strategies which may reduce risk and improve outcomes for the person a</w:t>
      </w:r>
      <w:r w:rsidRPr="00C14947">
        <w:rPr>
          <w:rFonts w:cs="Arial"/>
          <w:color w:val="000000" w:themeColor="text1"/>
        </w:rPr>
        <w:t>nd services</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Consider the support needs of the individual as well as the needs of the organisations involved to be accountable</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Consider whether there is a requirement to undertake further assessments and identify which LSAB partner agency would need to unde</w:t>
      </w:r>
      <w:r w:rsidRPr="00C14947">
        <w:rPr>
          <w:rFonts w:cs="Arial"/>
          <w:color w:val="000000" w:themeColor="text1"/>
        </w:rPr>
        <w:t>rtake these and identify who will be responsible for making the relevant referral, with identified timescales agreed to prevent case drift</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Consider whether legal advice is required (each organisation would be responsible for sourcing/funding this following</w:t>
      </w:r>
      <w:r w:rsidRPr="00C14947">
        <w:rPr>
          <w:rFonts w:cs="Arial"/>
          <w:color w:val="000000" w:themeColor="text1"/>
        </w:rPr>
        <w:t xml:space="preserve"> their own procedures)</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lastRenderedPageBreak/>
        <w:t>Agree a plan of action for the person, including the consideration of alternative or creative options to enable professionals and/or others to encourage engagement with the person at risk</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Agree timescales for actions</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Record the agree</w:t>
      </w:r>
      <w:r w:rsidRPr="00C14947">
        <w:rPr>
          <w:rFonts w:cs="Arial"/>
          <w:color w:val="000000" w:themeColor="text1"/>
        </w:rPr>
        <w:t>d outcome</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Agree a review period where necessary</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Share information with the adult concerned and organisations involved in the meeting</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Monitor and review the agreed plan of action where necessary</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Arrange for any further meeting(s) as required</w:t>
      </w:r>
    </w:p>
    <w:p w:rsidR="001B105F" w:rsidRPr="00C14947" w:rsidRDefault="00DE0210" w:rsidP="00263CFE">
      <w:pPr>
        <w:pStyle w:val="ListParagraph"/>
        <w:numPr>
          <w:ilvl w:val="0"/>
          <w:numId w:val="7"/>
        </w:numPr>
        <w:shd w:val="clear" w:color="auto" w:fill="FFFFFF"/>
        <w:spacing w:line="336" w:lineRule="auto"/>
        <w:jc w:val="both"/>
        <w:rPr>
          <w:rFonts w:cs="Arial"/>
          <w:color w:val="000000" w:themeColor="text1"/>
        </w:rPr>
      </w:pPr>
      <w:r w:rsidRPr="00C14947">
        <w:rPr>
          <w:rFonts w:cs="Arial"/>
          <w:color w:val="000000" w:themeColor="text1"/>
        </w:rPr>
        <w:t xml:space="preserve">Escalate the risks within the agencies involved to support a shared approach to risk assessment. </w:t>
      </w:r>
    </w:p>
    <w:p w:rsidR="001B105F" w:rsidRPr="00F55456" w:rsidRDefault="00DE0210" w:rsidP="00263CFE">
      <w:pPr>
        <w:spacing w:after="0"/>
        <w:jc w:val="both"/>
        <w:rPr>
          <w:rFonts w:ascii="Arial" w:hAnsi="Arial" w:cs="Arial"/>
        </w:rPr>
      </w:pPr>
    </w:p>
    <w:p w:rsidR="001B105F" w:rsidRPr="00C14947"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 xml:space="preserve">It is recognised that the dilemma of managing the balance between protecting adults at risk from the potential consequences of serious self-neglect, against </w:t>
      </w:r>
      <w:r w:rsidRPr="00C14947">
        <w:rPr>
          <w:rFonts w:ascii="Arial" w:hAnsi="Arial" w:cs="Arial"/>
          <w:color w:val="000000" w:themeColor="text1"/>
        </w:rPr>
        <w:t>their right to self-determination, is a challenge for all services.</w:t>
      </w:r>
    </w:p>
    <w:p w:rsidR="001B105F" w:rsidRPr="00C14947" w:rsidRDefault="00DE0210" w:rsidP="00263CFE">
      <w:pPr>
        <w:shd w:val="clear" w:color="auto" w:fill="FFFFFF"/>
        <w:spacing w:after="0" w:line="336" w:lineRule="auto"/>
        <w:jc w:val="both"/>
        <w:rPr>
          <w:rFonts w:ascii="Arial" w:hAnsi="Arial" w:cs="Arial"/>
          <w:color w:val="000000" w:themeColor="text1"/>
        </w:rPr>
      </w:pPr>
    </w:p>
    <w:p w:rsidR="001B105F" w:rsidRPr="00C14947"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 xml:space="preserve">It should be agreed at the MDT meeting who will </w:t>
      </w:r>
      <w:r w:rsidRPr="00F55456">
        <w:rPr>
          <w:rFonts w:ascii="Arial" w:hAnsi="Arial" w:cs="Arial"/>
          <w:color w:val="000000" w:themeColor="text1"/>
        </w:rPr>
        <w:t>feedback the outcome and any</w:t>
      </w:r>
      <w:r w:rsidRPr="00C14947">
        <w:rPr>
          <w:rFonts w:ascii="Arial" w:hAnsi="Arial" w:cs="Arial"/>
          <w:color w:val="000000" w:themeColor="text1"/>
        </w:rPr>
        <w:t xml:space="preserve"> proposed plan of action with the person and seek their consent to the plan, as well as a timescale for this di</w:t>
      </w:r>
      <w:r w:rsidRPr="00C14947">
        <w:rPr>
          <w:rFonts w:ascii="Arial" w:hAnsi="Arial" w:cs="Arial"/>
          <w:color w:val="000000" w:themeColor="text1"/>
        </w:rPr>
        <w:t>scussion.</w:t>
      </w:r>
    </w:p>
    <w:p w:rsidR="002A2C2F" w:rsidRPr="00C14947" w:rsidRDefault="00DE0210" w:rsidP="00263CFE">
      <w:pPr>
        <w:shd w:val="clear" w:color="auto" w:fill="FFFFFF"/>
        <w:spacing w:after="0" w:line="336" w:lineRule="auto"/>
        <w:jc w:val="both"/>
        <w:rPr>
          <w:rFonts w:ascii="Arial" w:hAnsi="Arial" w:cs="Arial"/>
          <w:color w:val="000000" w:themeColor="text1"/>
        </w:rPr>
      </w:pPr>
    </w:p>
    <w:p w:rsidR="001B105F" w:rsidRPr="00C14947" w:rsidRDefault="00DE0210" w:rsidP="00263CFE">
      <w:pPr>
        <w:pStyle w:val="Heading3"/>
        <w:spacing w:after="120"/>
        <w:jc w:val="both"/>
      </w:pPr>
      <w:bookmarkStart w:id="8" w:name="_Toc532810298"/>
      <w:r w:rsidRPr="00C14947">
        <w:t>Actions following the MDT meeting</w:t>
      </w:r>
      <w:bookmarkEnd w:id="8"/>
    </w:p>
    <w:p w:rsidR="001B105F" w:rsidRPr="00C14947"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As outlined above, the identified agency/ professionals/person should discuss the proposed plan of action with the individual in order to try to engage the person with services.</w:t>
      </w:r>
    </w:p>
    <w:p w:rsidR="001B105F" w:rsidRPr="00C14947" w:rsidRDefault="00DE0210" w:rsidP="00263CFE">
      <w:pPr>
        <w:shd w:val="clear" w:color="auto" w:fill="FFFFFF"/>
        <w:spacing w:after="0" w:line="336" w:lineRule="auto"/>
        <w:jc w:val="both"/>
        <w:rPr>
          <w:rFonts w:ascii="Arial" w:hAnsi="Arial" w:cs="Arial"/>
          <w:color w:val="000000" w:themeColor="text1"/>
        </w:rPr>
      </w:pPr>
    </w:p>
    <w:p w:rsidR="001B105F" w:rsidRPr="00C14947" w:rsidRDefault="00DE0210" w:rsidP="00263CFE">
      <w:pPr>
        <w:shd w:val="clear" w:color="auto" w:fill="FFFFFF"/>
        <w:spacing w:after="0" w:line="336" w:lineRule="auto"/>
        <w:jc w:val="both"/>
        <w:rPr>
          <w:rFonts w:ascii="Arial" w:hAnsi="Arial" w:cs="Arial"/>
          <w:color w:val="000000" w:themeColor="text1"/>
        </w:rPr>
      </w:pPr>
      <w:r w:rsidRPr="00F55456">
        <w:rPr>
          <w:rFonts w:ascii="Arial" w:hAnsi="Arial" w:cs="Arial"/>
          <w:color w:val="000000" w:themeColor="text1"/>
        </w:rPr>
        <w:t xml:space="preserve">The </w:t>
      </w:r>
      <w:r w:rsidRPr="00C14947">
        <w:rPr>
          <w:rFonts w:ascii="Arial" w:hAnsi="Arial" w:cs="Arial"/>
          <w:color w:val="000000" w:themeColor="text1"/>
        </w:rPr>
        <w:t xml:space="preserve">plan of action </w:t>
      </w:r>
      <w:r w:rsidRPr="00F55456">
        <w:rPr>
          <w:rFonts w:ascii="Arial" w:hAnsi="Arial" w:cs="Arial"/>
          <w:color w:val="000000" w:themeColor="text1"/>
        </w:rPr>
        <w:t xml:space="preserve">will have incorporated the next steps to be taken, in the event that the individual does not engage with the proposed actions. </w:t>
      </w:r>
      <w:r w:rsidRPr="00C14947">
        <w:rPr>
          <w:rFonts w:ascii="Arial" w:hAnsi="Arial" w:cs="Arial"/>
          <w:color w:val="000000" w:themeColor="text1"/>
        </w:rPr>
        <w:t>A review of the case will be required – process to be agreed in the plan of action.</w:t>
      </w:r>
    </w:p>
    <w:p w:rsidR="001B105F" w:rsidRPr="00C14947" w:rsidRDefault="00DE0210" w:rsidP="00263CFE">
      <w:pPr>
        <w:shd w:val="clear" w:color="auto" w:fill="FFFFFF"/>
        <w:spacing w:after="0" w:line="336" w:lineRule="auto"/>
        <w:jc w:val="both"/>
        <w:rPr>
          <w:rFonts w:ascii="Arial" w:hAnsi="Arial" w:cs="Arial"/>
          <w:color w:val="000000" w:themeColor="text1"/>
        </w:rPr>
      </w:pPr>
    </w:p>
    <w:p w:rsidR="001B105F" w:rsidRPr="00C14947"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It would be good practice for the agency lea</w:t>
      </w:r>
      <w:r w:rsidRPr="00C14947">
        <w:rPr>
          <w:rFonts w:ascii="Arial" w:hAnsi="Arial" w:cs="Arial"/>
          <w:color w:val="000000" w:themeColor="text1"/>
        </w:rPr>
        <w:t>ding on trying to engage the individual to record refusal to accept the plan of action, document ongoing risks and to ask the individual to sign to agree that they understand the risks involved.</w:t>
      </w:r>
    </w:p>
    <w:p w:rsidR="001B105F" w:rsidRPr="00F55456" w:rsidRDefault="00DE0210" w:rsidP="00263CFE">
      <w:pPr>
        <w:spacing w:after="0"/>
        <w:jc w:val="both"/>
        <w:rPr>
          <w:rFonts w:ascii="Arial" w:hAnsi="Arial" w:cs="Arial"/>
        </w:rPr>
      </w:pPr>
    </w:p>
    <w:p w:rsidR="001B105F" w:rsidRPr="00C14947"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b/>
          <w:color w:val="000000" w:themeColor="text1"/>
        </w:rPr>
        <w:t>Notes/actions</w:t>
      </w:r>
      <w:r w:rsidRPr="00C14947">
        <w:rPr>
          <w:rFonts w:ascii="Arial" w:hAnsi="Arial" w:cs="Arial"/>
          <w:color w:val="000000" w:themeColor="text1"/>
        </w:rPr>
        <w:t xml:space="preserve"> from the MDT meeting will be circulated to att</w:t>
      </w:r>
      <w:r w:rsidRPr="00C14947">
        <w:rPr>
          <w:rFonts w:ascii="Arial" w:hAnsi="Arial" w:cs="Arial"/>
          <w:color w:val="000000" w:themeColor="text1"/>
        </w:rPr>
        <w:t>endees and each agency will take responsibility for the secure storage of these minutes on their relevant databases.</w:t>
      </w:r>
    </w:p>
    <w:p w:rsidR="001B105F" w:rsidRPr="00F55456" w:rsidRDefault="00DE0210" w:rsidP="00263CFE">
      <w:pPr>
        <w:spacing w:after="0"/>
        <w:jc w:val="both"/>
        <w:rPr>
          <w:rFonts w:ascii="Arial" w:hAnsi="Arial" w:cs="Arial"/>
        </w:rPr>
      </w:pPr>
    </w:p>
    <w:p w:rsidR="001B105F" w:rsidRPr="00C14947" w:rsidRDefault="00DE0210" w:rsidP="00263CFE">
      <w:pPr>
        <w:pStyle w:val="Heading3"/>
        <w:spacing w:after="120"/>
        <w:jc w:val="both"/>
        <w:rPr>
          <w:b w:val="0"/>
        </w:rPr>
      </w:pPr>
      <w:bookmarkStart w:id="9" w:name="_Toc532810299"/>
      <w:r w:rsidRPr="00C14947">
        <w:t>Disagreements between Agencies</w:t>
      </w:r>
      <w:bookmarkEnd w:id="9"/>
    </w:p>
    <w:p w:rsidR="001B105F" w:rsidRPr="00F55456"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Where there are disagreements between agencies that cannot be resolved at the MDT meeting or concerns about</w:t>
      </w:r>
      <w:r w:rsidRPr="00C14947">
        <w:rPr>
          <w:rFonts w:ascii="Arial" w:hAnsi="Arial" w:cs="Arial"/>
          <w:color w:val="000000" w:themeColor="text1"/>
        </w:rPr>
        <w:t xml:space="preserve"> the participation of any agency in the process these will be escalated as </w:t>
      </w:r>
      <w:r w:rsidRPr="00F55456">
        <w:rPr>
          <w:rFonts w:ascii="Arial" w:hAnsi="Arial" w:cs="Arial"/>
          <w:color w:val="000000" w:themeColor="text1"/>
        </w:rPr>
        <w:t>appropriate. The senior leads of the relevant organisations should liaise with each other; if this does not resolve the issue, then an approach should be made to the relevant member</w:t>
      </w:r>
      <w:r w:rsidRPr="00F55456">
        <w:rPr>
          <w:rFonts w:ascii="Arial" w:hAnsi="Arial" w:cs="Arial"/>
          <w:color w:val="000000" w:themeColor="text1"/>
        </w:rPr>
        <w:t xml:space="preserve"> of LSAB for advice.</w:t>
      </w:r>
    </w:p>
    <w:p w:rsidR="001B105F" w:rsidRPr="00F55456" w:rsidRDefault="00DE0210" w:rsidP="00263CFE">
      <w:pPr>
        <w:spacing w:after="0"/>
        <w:jc w:val="both"/>
        <w:rPr>
          <w:rFonts w:ascii="Arial" w:hAnsi="Arial" w:cs="Arial"/>
          <w:color w:val="000000" w:themeColor="text1"/>
        </w:rPr>
      </w:pPr>
    </w:p>
    <w:p w:rsidR="001B105F" w:rsidRPr="00F55456" w:rsidRDefault="00DE0210" w:rsidP="00263CFE">
      <w:pPr>
        <w:shd w:val="clear" w:color="auto" w:fill="FFFFFF"/>
        <w:spacing w:after="120" w:line="336" w:lineRule="auto"/>
        <w:ind w:left="720"/>
        <w:jc w:val="both"/>
        <w:rPr>
          <w:rFonts w:ascii="Arial" w:hAnsi="Arial" w:cs="Arial"/>
          <w:color w:val="000000" w:themeColor="text1"/>
        </w:rPr>
      </w:pPr>
      <w:r w:rsidRPr="00C14947">
        <w:rPr>
          <w:rFonts w:ascii="Arial" w:hAnsi="Arial" w:cs="Arial"/>
          <w:b/>
          <w:color w:val="000000" w:themeColor="text1"/>
        </w:rPr>
        <w:t>Stage 1</w:t>
      </w:r>
      <w:r w:rsidRPr="00C14947">
        <w:rPr>
          <w:rFonts w:ascii="Arial" w:hAnsi="Arial" w:cs="Arial"/>
          <w:color w:val="000000" w:themeColor="text1"/>
        </w:rPr>
        <w:t xml:space="preserve">: </w:t>
      </w:r>
      <w:r w:rsidRPr="00F55456">
        <w:rPr>
          <w:rFonts w:ascii="Arial" w:hAnsi="Arial" w:cs="Arial"/>
          <w:color w:val="000000" w:themeColor="text1"/>
        </w:rPr>
        <w:t xml:space="preserve">If professionals are unable to reach agreement about the way forward regarding an individual issue then their disagreement must be addressed by more senior staff. In most cases this will mean </w:t>
      </w:r>
      <w:r w:rsidRPr="00F55456">
        <w:rPr>
          <w:rFonts w:ascii="Arial" w:hAnsi="Arial" w:cs="Arial"/>
          <w:color w:val="000000" w:themeColor="text1"/>
        </w:rPr>
        <w:lastRenderedPageBreak/>
        <w:t>the first line managers of the ag</w:t>
      </w:r>
      <w:r w:rsidRPr="00F55456">
        <w:rPr>
          <w:rFonts w:ascii="Arial" w:hAnsi="Arial" w:cs="Arial"/>
          <w:color w:val="000000" w:themeColor="text1"/>
        </w:rPr>
        <w:t>encies involved discussing the issue of dispute and seeking to reach a resolution;</w:t>
      </w:r>
    </w:p>
    <w:p w:rsidR="001B105F" w:rsidRPr="00F55456" w:rsidRDefault="00DE0210" w:rsidP="00263CFE">
      <w:pPr>
        <w:shd w:val="clear" w:color="auto" w:fill="FFFFFF"/>
        <w:spacing w:after="120" w:line="336" w:lineRule="auto"/>
        <w:ind w:left="720"/>
        <w:jc w:val="both"/>
        <w:rPr>
          <w:rFonts w:ascii="Arial" w:hAnsi="Arial" w:cs="Arial"/>
          <w:color w:val="000000" w:themeColor="text1"/>
        </w:rPr>
      </w:pPr>
      <w:r w:rsidRPr="00C14947">
        <w:rPr>
          <w:rFonts w:ascii="Arial" w:hAnsi="Arial" w:cs="Arial"/>
          <w:b/>
          <w:color w:val="000000" w:themeColor="text1"/>
        </w:rPr>
        <w:t>Stage 2</w:t>
      </w:r>
      <w:r w:rsidRPr="00C14947">
        <w:rPr>
          <w:rFonts w:ascii="Arial" w:hAnsi="Arial" w:cs="Arial"/>
          <w:color w:val="000000" w:themeColor="text1"/>
        </w:rPr>
        <w:t>:</w:t>
      </w:r>
      <w:r w:rsidRPr="00F55456">
        <w:rPr>
          <w:rFonts w:ascii="Arial" w:hAnsi="Arial" w:cs="Arial"/>
          <w:color w:val="000000" w:themeColor="text1"/>
        </w:rPr>
        <w:t xml:space="preserve"> If the issue cannot be resolved at this level then the matter must be referred up through each agencies line management structure without delay to a Head of Service</w:t>
      </w:r>
      <w:r w:rsidRPr="00F55456">
        <w:rPr>
          <w:rFonts w:ascii="Arial" w:hAnsi="Arial" w:cs="Arial"/>
          <w:color w:val="000000" w:themeColor="text1"/>
        </w:rPr>
        <w:t xml:space="preserve"> or equivalent (e.g. designated safeguarding officer);</w:t>
      </w:r>
    </w:p>
    <w:p w:rsidR="001B105F" w:rsidRPr="00F55456" w:rsidRDefault="00DE0210" w:rsidP="00263CFE">
      <w:pPr>
        <w:shd w:val="clear" w:color="auto" w:fill="FFFFFF"/>
        <w:spacing w:after="0" w:line="336" w:lineRule="auto"/>
        <w:ind w:left="720"/>
        <w:jc w:val="both"/>
        <w:rPr>
          <w:rFonts w:ascii="Arial" w:hAnsi="Arial" w:cs="Arial"/>
          <w:color w:val="000000" w:themeColor="text1"/>
        </w:rPr>
      </w:pPr>
      <w:r w:rsidRPr="00C14947">
        <w:rPr>
          <w:rFonts w:ascii="Arial" w:hAnsi="Arial" w:cs="Arial"/>
          <w:b/>
          <w:color w:val="000000" w:themeColor="text1"/>
        </w:rPr>
        <w:t>Stage 3</w:t>
      </w:r>
      <w:r w:rsidRPr="00C14947">
        <w:rPr>
          <w:rFonts w:ascii="Arial" w:hAnsi="Arial" w:cs="Arial"/>
          <w:color w:val="000000" w:themeColor="text1"/>
        </w:rPr>
        <w:t>:</w:t>
      </w:r>
      <w:r w:rsidRPr="00F55456">
        <w:rPr>
          <w:rFonts w:ascii="Arial" w:hAnsi="Arial" w:cs="Arial"/>
          <w:color w:val="000000" w:themeColor="text1"/>
        </w:rPr>
        <w:t xml:space="preserve"> If the issue cannot be resolved at Head of Service (or equivalent) level then consideration should be given to progressing the dispute through the further layers of more senior management up t</w:t>
      </w:r>
      <w:r w:rsidRPr="00F55456">
        <w:rPr>
          <w:rFonts w:ascii="Arial" w:hAnsi="Arial" w:cs="Arial"/>
          <w:color w:val="000000" w:themeColor="text1"/>
        </w:rPr>
        <w:t>o, for example, Strategic Head of Service or Director Level.</w:t>
      </w:r>
    </w:p>
    <w:p w:rsidR="001B105F" w:rsidRDefault="00DE0210" w:rsidP="00263CFE">
      <w:pPr>
        <w:shd w:val="clear" w:color="auto" w:fill="FFFFFF"/>
        <w:spacing w:after="0" w:line="336" w:lineRule="auto"/>
        <w:jc w:val="both"/>
        <w:rPr>
          <w:rFonts w:ascii="Arial" w:hAnsi="Arial" w:cs="Arial"/>
          <w:color w:val="000000" w:themeColor="text1"/>
        </w:rPr>
      </w:pPr>
    </w:p>
    <w:p w:rsidR="001B105F" w:rsidRPr="00F55456" w:rsidRDefault="00DE0210" w:rsidP="00263CFE">
      <w:pPr>
        <w:shd w:val="clear" w:color="auto" w:fill="FFFFFF"/>
        <w:spacing w:after="0" w:line="336" w:lineRule="auto"/>
        <w:jc w:val="both"/>
        <w:rPr>
          <w:rFonts w:ascii="Arial" w:hAnsi="Arial" w:cs="Arial"/>
          <w:color w:val="000000" w:themeColor="text1"/>
        </w:rPr>
      </w:pPr>
      <w:r w:rsidRPr="00F55456">
        <w:rPr>
          <w:rFonts w:ascii="Arial" w:hAnsi="Arial" w:cs="Arial"/>
          <w:color w:val="000000" w:themeColor="text1"/>
        </w:rPr>
        <w:t xml:space="preserve">In situations where such senior officers have become involved in resolving disagreements between agencies and those disputes relate to the safeguarding needs of vulnerable adults, the LSAB Team </w:t>
      </w:r>
      <w:r w:rsidRPr="00F55456">
        <w:rPr>
          <w:rFonts w:ascii="Arial" w:hAnsi="Arial" w:cs="Arial"/>
          <w:color w:val="000000" w:themeColor="text1"/>
        </w:rPr>
        <w:t>must be made aware of this. The purpose of such notification is to help monitor interagency safeguarding activity, and to identify issues which may benefit from an LSAB Quality Assurance scrutiny. The agency which found it necessary to escalate an issue to</w:t>
      </w:r>
      <w:r w:rsidRPr="00F55456">
        <w:rPr>
          <w:rFonts w:ascii="Arial" w:hAnsi="Arial" w:cs="Arial"/>
          <w:color w:val="000000" w:themeColor="text1"/>
        </w:rPr>
        <w:t xml:space="preserve"> such a high level in another organisation should advise the other organisation of their intention to do so</w:t>
      </w:r>
    </w:p>
    <w:p w:rsidR="001B105F" w:rsidRPr="00F55456" w:rsidRDefault="00DE0210" w:rsidP="00263CFE">
      <w:pPr>
        <w:spacing w:after="0"/>
        <w:jc w:val="both"/>
        <w:rPr>
          <w:rFonts w:ascii="Arial" w:hAnsi="Arial" w:cs="Arial"/>
          <w:color w:val="000000" w:themeColor="text1"/>
        </w:rPr>
      </w:pPr>
    </w:p>
    <w:p w:rsidR="001B105F" w:rsidRPr="00C14947" w:rsidRDefault="00DE0210" w:rsidP="00263CFE">
      <w:pPr>
        <w:pStyle w:val="Heading2"/>
        <w:jc w:val="both"/>
      </w:pPr>
      <w:bookmarkStart w:id="10" w:name="_Toc532810300"/>
      <w:r w:rsidRPr="00C14947">
        <w:t>Exiting the Framework</w:t>
      </w:r>
      <w:bookmarkEnd w:id="10"/>
    </w:p>
    <w:p w:rsidR="001B105F" w:rsidRPr="00C14947" w:rsidRDefault="00DE0210" w:rsidP="00263CFE">
      <w:pPr>
        <w:shd w:val="clear" w:color="auto" w:fill="FFFFFF"/>
        <w:spacing w:after="0" w:line="336" w:lineRule="auto"/>
        <w:jc w:val="both"/>
        <w:rPr>
          <w:rFonts w:ascii="Arial" w:hAnsi="Arial" w:cs="Arial"/>
          <w:color w:val="000000" w:themeColor="text1"/>
        </w:rPr>
      </w:pPr>
      <w:r w:rsidRPr="00C14947">
        <w:rPr>
          <w:rFonts w:ascii="Arial" w:hAnsi="Arial" w:cs="Arial"/>
          <w:color w:val="000000" w:themeColor="text1"/>
        </w:rPr>
        <w:t xml:space="preserve">Cases will exit the framework when </w:t>
      </w:r>
      <w:r w:rsidRPr="00F55456">
        <w:rPr>
          <w:rFonts w:ascii="Arial" w:hAnsi="Arial" w:cs="Arial"/>
          <w:color w:val="000000" w:themeColor="text1"/>
        </w:rPr>
        <w:t>either:</w:t>
      </w:r>
    </w:p>
    <w:p w:rsidR="001B105F" w:rsidRPr="00F55456" w:rsidRDefault="00DE0210" w:rsidP="00263CFE">
      <w:pPr>
        <w:spacing w:after="0"/>
        <w:jc w:val="both"/>
        <w:rPr>
          <w:rFonts w:ascii="Arial" w:hAnsi="Arial" w:cs="Arial"/>
          <w:color w:val="000000" w:themeColor="text1"/>
        </w:rPr>
      </w:pPr>
    </w:p>
    <w:p w:rsidR="001B105F" w:rsidRPr="00C14947" w:rsidRDefault="00DE0210" w:rsidP="00263CFE">
      <w:pPr>
        <w:pStyle w:val="ListParagraph"/>
        <w:numPr>
          <w:ilvl w:val="0"/>
          <w:numId w:val="9"/>
        </w:numPr>
        <w:shd w:val="clear" w:color="auto" w:fill="FFFFFF"/>
        <w:spacing w:line="336" w:lineRule="auto"/>
        <w:jc w:val="both"/>
        <w:rPr>
          <w:rFonts w:cs="Arial"/>
          <w:color w:val="000000" w:themeColor="text1"/>
        </w:rPr>
      </w:pPr>
      <w:r w:rsidRPr="00C14947">
        <w:rPr>
          <w:rFonts w:cs="Arial"/>
          <w:color w:val="000000" w:themeColor="text1"/>
        </w:rPr>
        <w:t>The desired outcomes are achieved and/or risks are reduced as far as possible, so</w:t>
      </w:r>
      <w:r w:rsidRPr="00C14947">
        <w:rPr>
          <w:rFonts w:cs="Arial"/>
          <w:color w:val="000000" w:themeColor="text1"/>
        </w:rPr>
        <w:t xml:space="preserve"> that the individual no longer meets the threshold for this framework</w:t>
      </w:r>
    </w:p>
    <w:p w:rsidR="001B105F" w:rsidRPr="00C14947" w:rsidRDefault="00DE0210" w:rsidP="00263CFE">
      <w:pPr>
        <w:shd w:val="clear" w:color="auto" w:fill="FFFFFF"/>
        <w:spacing w:line="336" w:lineRule="auto"/>
        <w:ind w:left="360"/>
        <w:jc w:val="both"/>
        <w:rPr>
          <w:rFonts w:ascii="Arial" w:hAnsi="Arial" w:cs="Arial"/>
          <w:b/>
          <w:color w:val="000000" w:themeColor="text1"/>
        </w:rPr>
      </w:pPr>
      <w:r w:rsidRPr="00C14947">
        <w:rPr>
          <w:rFonts w:ascii="Arial" w:hAnsi="Arial" w:cs="Arial"/>
          <w:b/>
          <w:color w:val="000000" w:themeColor="text1"/>
        </w:rPr>
        <w:t>Or</w:t>
      </w:r>
    </w:p>
    <w:p w:rsidR="001B105F" w:rsidRPr="00C14947" w:rsidRDefault="00DE0210" w:rsidP="00263CFE">
      <w:pPr>
        <w:pStyle w:val="ListParagraph"/>
        <w:numPr>
          <w:ilvl w:val="0"/>
          <w:numId w:val="9"/>
        </w:numPr>
        <w:shd w:val="clear" w:color="auto" w:fill="FFFFFF"/>
        <w:spacing w:line="336" w:lineRule="auto"/>
        <w:jc w:val="both"/>
        <w:rPr>
          <w:rFonts w:cs="Arial"/>
          <w:color w:val="000000" w:themeColor="text1"/>
        </w:rPr>
      </w:pPr>
      <w:r w:rsidRPr="00C14947">
        <w:rPr>
          <w:rFonts w:cs="Arial"/>
          <w:color w:val="000000" w:themeColor="text1"/>
        </w:rPr>
        <w:t>All options have been exhausted and there are no further interventions available to agencies.</w:t>
      </w:r>
    </w:p>
    <w:p w:rsidR="00C14947" w:rsidRDefault="00DE0210" w:rsidP="00263CFE">
      <w:pPr>
        <w:shd w:val="clear" w:color="auto" w:fill="FFFFFF"/>
        <w:spacing w:after="0" w:line="336" w:lineRule="auto"/>
        <w:jc w:val="both"/>
        <w:rPr>
          <w:rFonts w:ascii="Arial" w:hAnsi="Arial" w:cs="Arial"/>
          <w:color w:val="000000" w:themeColor="text1"/>
        </w:rPr>
      </w:pPr>
    </w:p>
    <w:p w:rsidR="001B105F" w:rsidRPr="00F55456" w:rsidRDefault="00DE0210" w:rsidP="00263CFE">
      <w:pPr>
        <w:shd w:val="clear" w:color="auto" w:fill="FFFFFF"/>
        <w:spacing w:after="0" w:line="336" w:lineRule="auto"/>
        <w:jc w:val="both"/>
        <w:rPr>
          <w:rFonts w:ascii="Arial" w:hAnsi="Arial" w:cs="Arial"/>
          <w:color w:val="000000" w:themeColor="text1"/>
        </w:rPr>
      </w:pPr>
      <w:r w:rsidRPr="00F55456">
        <w:rPr>
          <w:rFonts w:ascii="Arial" w:hAnsi="Arial" w:cs="Arial"/>
          <w:color w:val="000000" w:themeColor="text1"/>
        </w:rPr>
        <w:t xml:space="preserve">If the reason for the exit is due to b) and has been agreed by MDT members and recorded </w:t>
      </w:r>
      <w:r w:rsidRPr="00F55456">
        <w:rPr>
          <w:rFonts w:ascii="Arial" w:hAnsi="Arial" w:cs="Arial"/>
          <w:color w:val="000000" w:themeColor="text1"/>
        </w:rPr>
        <w:t>as appropriate in the individual's and agency's record</w:t>
      </w:r>
      <w:r>
        <w:rPr>
          <w:rFonts w:ascii="Arial" w:hAnsi="Arial" w:cs="Arial"/>
          <w:color w:val="000000" w:themeColor="text1"/>
        </w:rPr>
        <w:t xml:space="preserve">, this should be communicated in writing to the SU, with assurances that there is an open offer of support should they wish to take this up at any time. The agency's records should include </w:t>
      </w:r>
      <w:r w:rsidRPr="00F55456">
        <w:rPr>
          <w:rFonts w:ascii="Arial" w:hAnsi="Arial" w:cs="Arial"/>
          <w:color w:val="000000" w:themeColor="text1"/>
        </w:rPr>
        <w:t>a rationale o</w:t>
      </w:r>
      <w:r w:rsidRPr="00F55456">
        <w:rPr>
          <w:rFonts w:ascii="Arial" w:hAnsi="Arial" w:cs="Arial"/>
          <w:color w:val="000000" w:themeColor="text1"/>
        </w:rPr>
        <w:t>f the decision-making process and actions (including current mental capacity assessment).</w:t>
      </w:r>
    </w:p>
    <w:p w:rsidR="001B105F" w:rsidRPr="00F55456" w:rsidRDefault="00DE0210" w:rsidP="00263CFE">
      <w:pPr>
        <w:spacing w:after="0"/>
        <w:jc w:val="both"/>
        <w:rPr>
          <w:rFonts w:ascii="Arial" w:hAnsi="Arial" w:cs="Arial"/>
          <w:color w:val="000000" w:themeColor="text1"/>
        </w:rPr>
      </w:pPr>
    </w:p>
    <w:p w:rsidR="001560F9" w:rsidRDefault="00DE0210" w:rsidP="00263CFE">
      <w:pPr>
        <w:jc w:val="both"/>
        <w:rPr>
          <w:rFonts w:ascii="Arial" w:hAnsi="Arial" w:cs="Arial"/>
          <w:color w:val="000000" w:themeColor="text1"/>
        </w:rPr>
      </w:pPr>
      <w:r>
        <w:rPr>
          <w:rFonts w:ascii="Arial" w:hAnsi="Arial" w:cs="Arial"/>
          <w:color w:val="000000" w:themeColor="text1"/>
        </w:rPr>
        <w:br w:type="page"/>
      </w:r>
    </w:p>
    <w:p w:rsidR="00263CFE" w:rsidRDefault="00DE0210" w:rsidP="00263CFE">
      <w:pPr>
        <w:pStyle w:val="Heading1"/>
      </w:pPr>
      <w:bookmarkStart w:id="11" w:name="_Toc532810301"/>
      <w:r>
        <w:lastRenderedPageBreak/>
        <w:t>Supporting Information</w:t>
      </w:r>
      <w:bookmarkEnd w:id="11"/>
    </w:p>
    <w:p w:rsidR="00263CFE" w:rsidRDefault="00DE0210" w:rsidP="00C14947">
      <w:pPr>
        <w:shd w:val="clear" w:color="auto" w:fill="FFFFFF"/>
        <w:spacing w:after="0" w:line="336" w:lineRule="auto"/>
        <w:rPr>
          <w:rFonts w:ascii="Arial" w:hAnsi="Arial" w:cs="Arial"/>
          <w:b/>
          <w:caps/>
          <w:color w:val="000000" w:themeColor="text1"/>
        </w:rPr>
      </w:pPr>
    </w:p>
    <w:p w:rsidR="001B105F" w:rsidRPr="00A849D9" w:rsidRDefault="00DE0210" w:rsidP="00263CFE">
      <w:pPr>
        <w:pStyle w:val="Heading3"/>
      </w:pPr>
      <w:bookmarkStart w:id="12" w:name="_Toc532810302"/>
      <w:r w:rsidRPr="00A849D9">
        <w:t>Escalation Tool</w:t>
      </w:r>
      <w:bookmarkEnd w:id="12"/>
    </w:p>
    <w:p w:rsidR="001B105F" w:rsidRPr="00C14947" w:rsidRDefault="00DE0210" w:rsidP="00C14947">
      <w:pPr>
        <w:shd w:val="clear" w:color="auto" w:fill="FFFFFF"/>
        <w:spacing w:after="0" w:line="336" w:lineRule="auto"/>
        <w:rPr>
          <w:rFonts w:ascii="Arial" w:hAnsi="Arial" w:cs="Arial"/>
          <w:color w:val="000000" w:themeColor="text1"/>
        </w:rPr>
      </w:pPr>
      <w:r w:rsidRPr="00C14947">
        <w:rPr>
          <w:rFonts w:ascii="Arial" w:hAnsi="Arial" w:cs="Arial"/>
          <w:b/>
          <w:color w:val="000000" w:themeColor="text1"/>
        </w:rPr>
        <w:t>Please note:</w:t>
      </w:r>
      <w:r w:rsidRPr="00C14947">
        <w:rPr>
          <w:rFonts w:ascii="Arial" w:hAnsi="Arial" w:cs="Arial"/>
          <w:color w:val="000000" w:themeColor="text1"/>
        </w:rPr>
        <w:t xml:space="preserve"> these examples are to help guide professional decision-making. For someone to be at high risk of severe injury</w:t>
      </w:r>
      <w:r w:rsidRPr="00C14947">
        <w:rPr>
          <w:rFonts w:ascii="Arial" w:hAnsi="Arial" w:cs="Arial"/>
          <w:color w:val="000000" w:themeColor="text1"/>
        </w:rPr>
        <w:t xml:space="preserve"> and/or death, a combination of issues and a significant impact on an individual's safety, with a refusal to engage with services in order to mitigate risks, would be required in order for it to meet the standards expected for the framework to apply. </w:t>
      </w:r>
    </w:p>
    <w:p w:rsidR="001B105F" w:rsidRPr="00F55456" w:rsidRDefault="00DE0210" w:rsidP="001B105F">
      <w:pPr>
        <w:autoSpaceDE w:val="0"/>
        <w:autoSpaceDN w:val="0"/>
        <w:adjustRightInd w:val="0"/>
        <w:spacing w:after="0"/>
        <w:rPr>
          <w:rFonts w:ascii="Arial" w:hAnsi="Arial" w:cs="Arial"/>
          <w:b/>
          <w:bCs/>
          <w:color w:val="244061"/>
        </w:rPr>
      </w:pPr>
    </w:p>
    <w:tbl>
      <w:tblPr>
        <w:tblStyle w:val="TableGrid"/>
        <w:tblW w:w="10485" w:type="dxa"/>
        <w:tblLook w:val="04A0" w:firstRow="1" w:lastRow="0" w:firstColumn="1" w:lastColumn="0" w:noHBand="0" w:noVBand="1"/>
      </w:tblPr>
      <w:tblGrid>
        <w:gridCol w:w="1557"/>
        <w:gridCol w:w="2976"/>
        <w:gridCol w:w="2976"/>
        <w:gridCol w:w="2976"/>
      </w:tblGrid>
      <w:tr w:rsidR="00CA297B" w:rsidTr="001A7411">
        <w:tc>
          <w:tcPr>
            <w:tcW w:w="1557" w:type="dxa"/>
            <w:vAlign w:val="center"/>
          </w:tcPr>
          <w:p w:rsidR="001B105F" w:rsidRPr="00C14947" w:rsidRDefault="00DE0210" w:rsidP="00C14947">
            <w:pPr>
              <w:autoSpaceDE w:val="0"/>
              <w:autoSpaceDN w:val="0"/>
              <w:adjustRightInd w:val="0"/>
              <w:spacing w:before="60" w:after="60"/>
              <w:rPr>
                <w:rFonts w:ascii="Arial" w:hAnsi="Arial" w:cs="Arial"/>
                <w:b/>
                <w:bCs/>
              </w:rPr>
            </w:pPr>
            <w:r w:rsidRPr="00C14947">
              <w:rPr>
                <w:rFonts w:ascii="Arial" w:hAnsi="Arial" w:cs="Arial"/>
                <w:b/>
                <w:bCs/>
              </w:rPr>
              <w:t>Level of Risk</w:t>
            </w:r>
          </w:p>
        </w:tc>
        <w:tc>
          <w:tcPr>
            <w:tcW w:w="2976" w:type="dxa"/>
            <w:shd w:val="clear" w:color="auto" w:fill="A8D08D" w:themeFill="accent6" w:themeFillTint="99"/>
            <w:vAlign w:val="center"/>
          </w:tcPr>
          <w:p w:rsidR="001B105F" w:rsidRPr="00C14947" w:rsidRDefault="00DE0210" w:rsidP="00C14947">
            <w:pPr>
              <w:autoSpaceDE w:val="0"/>
              <w:autoSpaceDN w:val="0"/>
              <w:adjustRightInd w:val="0"/>
              <w:spacing w:before="60" w:after="60"/>
              <w:rPr>
                <w:rFonts w:ascii="Arial" w:hAnsi="Arial" w:cs="Arial"/>
                <w:b/>
                <w:bCs/>
              </w:rPr>
            </w:pPr>
            <w:r w:rsidRPr="00C14947">
              <w:rPr>
                <w:rFonts w:ascii="Arial" w:hAnsi="Arial" w:cs="Arial"/>
                <w:b/>
                <w:bCs/>
              </w:rPr>
              <w:t>Minimal Risk</w:t>
            </w:r>
          </w:p>
        </w:tc>
        <w:tc>
          <w:tcPr>
            <w:tcW w:w="2976" w:type="dxa"/>
            <w:shd w:val="clear" w:color="auto" w:fill="F4B083" w:themeFill="accent2" w:themeFillTint="99"/>
            <w:vAlign w:val="center"/>
          </w:tcPr>
          <w:p w:rsidR="001B105F" w:rsidRPr="00C14947" w:rsidRDefault="00DE0210" w:rsidP="00C14947">
            <w:pPr>
              <w:autoSpaceDE w:val="0"/>
              <w:autoSpaceDN w:val="0"/>
              <w:adjustRightInd w:val="0"/>
              <w:spacing w:before="60" w:after="60"/>
              <w:rPr>
                <w:rFonts w:ascii="Arial" w:hAnsi="Arial" w:cs="Arial"/>
                <w:b/>
                <w:bCs/>
              </w:rPr>
            </w:pPr>
            <w:r w:rsidRPr="00C14947">
              <w:rPr>
                <w:rFonts w:ascii="Arial" w:hAnsi="Arial" w:cs="Arial"/>
                <w:b/>
                <w:bCs/>
              </w:rPr>
              <w:t>Moderate</w:t>
            </w:r>
          </w:p>
        </w:tc>
        <w:tc>
          <w:tcPr>
            <w:tcW w:w="2976" w:type="dxa"/>
            <w:shd w:val="clear" w:color="auto" w:fill="F20000"/>
            <w:vAlign w:val="center"/>
          </w:tcPr>
          <w:p w:rsidR="001B105F" w:rsidRPr="00C14947" w:rsidRDefault="00DE0210" w:rsidP="00C14947">
            <w:pPr>
              <w:autoSpaceDE w:val="0"/>
              <w:autoSpaceDN w:val="0"/>
              <w:adjustRightInd w:val="0"/>
              <w:spacing w:before="60" w:after="60"/>
              <w:rPr>
                <w:rFonts w:ascii="Arial" w:hAnsi="Arial" w:cs="Arial"/>
                <w:b/>
                <w:bCs/>
                <w:color w:val="FFFFFF" w:themeColor="background1"/>
              </w:rPr>
            </w:pPr>
            <w:r w:rsidRPr="00C14947">
              <w:rPr>
                <w:rFonts w:ascii="Arial" w:hAnsi="Arial" w:cs="Arial"/>
                <w:b/>
                <w:bCs/>
                <w:color w:val="FFFFFF" w:themeColor="background1"/>
              </w:rPr>
              <w:t>High / Critical</w:t>
            </w:r>
          </w:p>
        </w:tc>
      </w:tr>
      <w:tr w:rsidR="00CA297B" w:rsidTr="00501A94">
        <w:tc>
          <w:tcPr>
            <w:tcW w:w="1557" w:type="dxa"/>
          </w:tcPr>
          <w:p w:rsidR="001B105F" w:rsidRPr="00C14947" w:rsidRDefault="00DE0210" w:rsidP="00C14947">
            <w:pPr>
              <w:autoSpaceDE w:val="0"/>
              <w:autoSpaceDN w:val="0"/>
              <w:adjustRightInd w:val="0"/>
              <w:spacing w:before="60" w:after="60"/>
              <w:rPr>
                <w:rFonts w:ascii="Arial" w:hAnsi="Arial" w:cs="Arial"/>
                <w:b/>
                <w:bCs/>
              </w:rPr>
            </w:pPr>
            <w:r w:rsidRPr="00C14947">
              <w:rPr>
                <w:rFonts w:ascii="Arial" w:hAnsi="Arial" w:cs="Arial"/>
                <w:b/>
                <w:bCs/>
              </w:rPr>
              <w:t>Self-Neglect</w:t>
            </w: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tc>
        <w:tc>
          <w:tcPr>
            <w:tcW w:w="2976" w:type="dxa"/>
          </w:tcPr>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Access to support services is limited.</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Health care and attendance at appointments sporadic.</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 is not currently losing weight (but may have done in past 6 months).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Person has </w:t>
            </w:r>
            <w:r w:rsidRPr="00C14947">
              <w:rPr>
                <w:rFonts w:ascii="Arial" w:hAnsi="Arial" w:cs="Arial"/>
              </w:rPr>
              <w:t>limited access to social and community activities.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 is able to contribute to some daily living activities.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Personal hygiene is relatively good.</w:t>
            </w:r>
          </w:p>
          <w:p w:rsidR="001B105F" w:rsidRPr="00C14947" w:rsidRDefault="00DE0210" w:rsidP="00C14947">
            <w:pPr>
              <w:autoSpaceDE w:val="0"/>
              <w:autoSpaceDN w:val="0"/>
              <w:adjustRightInd w:val="0"/>
              <w:spacing w:before="60" w:after="60"/>
              <w:rPr>
                <w:rFonts w:ascii="Arial" w:hAnsi="Arial" w:cs="Arial"/>
                <w:bCs/>
              </w:rPr>
            </w:pPr>
          </w:p>
          <w:p w:rsidR="001B105F" w:rsidRPr="00C14947" w:rsidRDefault="00DE0210" w:rsidP="00C14947">
            <w:pPr>
              <w:autoSpaceDE w:val="0"/>
              <w:autoSpaceDN w:val="0"/>
              <w:adjustRightInd w:val="0"/>
              <w:spacing w:before="60" w:after="60"/>
              <w:rPr>
                <w:rFonts w:ascii="Arial" w:hAnsi="Arial" w:cs="Arial"/>
                <w:bCs/>
              </w:rPr>
            </w:pPr>
            <w:r w:rsidRPr="00C14947">
              <w:rPr>
                <w:rFonts w:ascii="Arial" w:hAnsi="Arial" w:cs="Arial"/>
                <w:bCs/>
              </w:rPr>
              <w:t>Low risk of harm.</w:t>
            </w:r>
          </w:p>
        </w:tc>
        <w:tc>
          <w:tcPr>
            <w:tcW w:w="2976" w:type="dxa"/>
          </w:tcPr>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Access to support services have been identified but declined. </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Health care is poor, </w:t>
            </w:r>
            <w:r w:rsidRPr="00C14947">
              <w:rPr>
                <w:rFonts w:ascii="Arial" w:hAnsi="Arial" w:cs="Arial"/>
              </w:rPr>
              <w:t>but no current deterioration in health and person is of low weight.</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Limited ability to maintain nutrition even with support.</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Person's wellbeing is significantly affected:</w:t>
            </w: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 does not access social or community activities.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Person's is unable to contr</w:t>
            </w:r>
            <w:r w:rsidRPr="00C14947">
              <w:rPr>
                <w:rFonts w:ascii="Arial" w:hAnsi="Arial" w:cs="Arial"/>
              </w:rPr>
              <w:t>ibute toward daily living activities and does not recognise this/declines necessary intervention.</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Personal hygiene is an issue and is impacting on health.</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Loss to independence and declining relevant support. </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Some level of self-neglect/non-compliance, i</w:t>
            </w:r>
            <w:r w:rsidRPr="00C14947">
              <w:rPr>
                <w:rFonts w:ascii="Arial" w:hAnsi="Arial" w:cs="Arial"/>
              </w:rPr>
              <w:t>.e. inconsistent engagement with medical staff or medication management and this is having a detrimental impact on health.</w:t>
            </w: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lastRenderedPageBreak/>
              <w:t>Medium risk of harm or injury.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b/>
                <w:bCs/>
              </w:rPr>
            </w:pPr>
          </w:p>
        </w:tc>
        <w:tc>
          <w:tcPr>
            <w:tcW w:w="2976" w:type="dxa"/>
          </w:tcPr>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lastRenderedPageBreak/>
              <w:t>The person refuses to engage with necessary services and there are significant concerns with regard</w:t>
            </w:r>
            <w:r w:rsidRPr="00C14947">
              <w:rPr>
                <w:rFonts w:ascii="Arial" w:hAnsi="Arial" w:cs="Arial"/>
              </w:rPr>
              <w:t xml:space="preserve"> to the level of risk of significant harm/injury/death.</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Health care is very poor and there is a recent significant deterioration in health.</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Essential care is refused.</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Wellbeing is significantly affected on a daily basis:</w:t>
            </w: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Person is isolated from family a</w:t>
            </w:r>
            <w:r w:rsidRPr="00C14947">
              <w:rPr>
                <w:rFonts w:ascii="Arial" w:hAnsi="Arial" w:cs="Arial"/>
              </w:rPr>
              <w:t>nd friends (or does not have any).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The person does not engage with any social or community activities and this is affecting their mental health.</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The person does not manage any daily living activities, they are declining support and this is impacting on t</w:t>
            </w:r>
            <w:r w:rsidRPr="00C14947">
              <w:rPr>
                <w:rFonts w:ascii="Arial" w:hAnsi="Arial" w:cs="Arial"/>
              </w:rPr>
              <w:t>heir health.</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Hygiene is extremely poor and causing significant skin problems.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Aids and adaptations refused or not accessed and significant risk of harm identified.</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Limited or no financial viability which is impacting on their health and declining suppor</w:t>
            </w:r>
            <w:r w:rsidRPr="00C14947">
              <w:rPr>
                <w:rFonts w:ascii="Arial" w:hAnsi="Arial" w:cs="Arial"/>
              </w:rPr>
              <w:t>t with this.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b/>
                <w:bCs/>
              </w:rPr>
            </w:pPr>
            <w:r w:rsidRPr="00C14947">
              <w:rPr>
                <w:rFonts w:ascii="Arial" w:hAnsi="Arial" w:cs="Arial"/>
              </w:rPr>
              <w:t>High risk of severe injury and/or death as a result of the above</w:t>
            </w:r>
            <w:r w:rsidRPr="00C14947">
              <w:rPr>
                <w:rFonts w:ascii="Arial" w:hAnsi="Arial" w:cs="Arial"/>
                <w:b/>
                <w:bCs/>
              </w:rPr>
              <w:t xml:space="preserve"> </w:t>
            </w:r>
          </w:p>
        </w:tc>
      </w:tr>
      <w:tr w:rsidR="00CA297B" w:rsidTr="00501A94">
        <w:tc>
          <w:tcPr>
            <w:tcW w:w="1557" w:type="dxa"/>
          </w:tcPr>
          <w:p w:rsidR="001B105F" w:rsidRDefault="00DE0210" w:rsidP="00C14947">
            <w:pPr>
              <w:autoSpaceDE w:val="0"/>
              <w:autoSpaceDN w:val="0"/>
              <w:adjustRightInd w:val="0"/>
              <w:spacing w:before="60" w:after="60"/>
              <w:rPr>
                <w:rFonts w:ascii="Arial" w:hAnsi="Arial" w:cs="Arial"/>
                <w:b/>
                <w:bCs/>
              </w:rPr>
            </w:pPr>
            <w:r w:rsidRPr="00C14947">
              <w:rPr>
                <w:rFonts w:ascii="Arial" w:hAnsi="Arial" w:cs="Arial"/>
                <w:b/>
                <w:bCs/>
              </w:rPr>
              <w:lastRenderedPageBreak/>
              <w:t>Hoarding</w:t>
            </w:r>
          </w:p>
          <w:p w:rsidR="004F64A1" w:rsidRDefault="00DE0210" w:rsidP="00C14947">
            <w:pPr>
              <w:autoSpaceDE w:val="0"/>
              <w:autoSpaceDN w:val="0"/>
              <w:adjustRightInd w:val="0"/>
              <w:spacing w:before="60" w:after="60"/>
              <w:rPr>
                <w:rFonts w:ascii="Arial" w:hAnsi="Arial" w:cs="Arial"/>
                <w:b/>
                <w:bCs/>
              </w:rPr>
            </w:pPr>
            <w:r>
              <w:rPr>
                <w:rFonts w:ascii="Arial" w:hAnsi="Arial" w:cs="Arial"/>
                <w:b/>
                <w:bCs/>
              </w:rPr>
              <w:t>(see Hoarding guidance at appendix 1)</w:t>
            </w:r>
          </w:p>
          <w:p w:rsidR="004F64A1" w:rsidRPr="004F64A1" w:rsidRDefault="00DE0210" w:rsidP="00C14947">
            <w:pPr>
              <w:autoSpaceDE w:val="0"/>
              <w:autoSpaceDN w:val="0"/>
              <w:adjustRightInd w:val="0"/>
              <w:spacing w:before="60" w:after="60"/>
              <w:rPr>
                <w:rFonts w:ascii="Arial" w:hAnsi="Arial" w:cs="Arial"/>
                <w:b/>
                <w:bCs/>
                <w:sz w:val="18"/>
              </w:rPr>
            </w:pPr>
            <w:r w:rsidRPr="004F64A1">
              <w:rPr>
                <w:rFonts w:ascii="Arial" w:hAnsi="Arial" w:cs="Arial"/>
                <w:szCs w:val="28"/>
                <w:highlight w:val="yellow"/>
              </w:rPr>
              <w:t>(To be hyperlinked on go-live date)</w:t>
            </w: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p w:rsidR="001B105F" w:rsidRPr="00C14947" w:rsidRDefault="00DE0210" w:rsidP="00C14947">
            <w:pPr>
              <w:autoSpaceDE w:val="0"/>
              <w:autoSpaceDN w:val="0"/>
              <w:adjustRightInd w:val="0"/>
              <w:spacing w:before="60" w:after="60"/>
              <w:rPr>
                <w:rFonts w:ascii="Arial" w:hAnsi="Arial" w:cs="Arial"/>
                <w:b/>
                <w:bCs/>
              </w:rPr>
            </w:pPr>
          </w:p>
        </w:tc>
        <w:tc>
          <w:tcPr>
            <w:tcW w:w="2976" w:type="dxa"/>
          </w:tcPr>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Moderate-severe collections of items; not rubbish and not causing obstructions.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At least one room is severely impaired by level of clutter.</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Several animals present that are currently well cared for.</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Responds to relationship building and rapport with professionals.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Residents and communal areas unaffected.</w:t>
            </w:r>
          </w:p>
          <w:p w:rsidR="001B105F" w:rsidRPr="00C14947" w:rsidRDefault="00DE0210" w:rsidP="00C14947">
            <w:pPr>
              <w:autoSpaceDE w:val="0"/>
              <w:autoSpaceDN w:val="0"/>
              <w:adjustRightInd w:val="0"/>
              <w:spacing w:before="60" w:after="60"/>
              <w:rPr>
                <w:rFonts w:ascii="Arial" w:hAnsi="Arial" w:cs="Arial"/>
                <w:bCs/>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bCs/>
              </w:rPr>
              <w:t>Low risk of harm.</w:t>
            </w:r>
          </w:p>
        </w:tc>
        <w:tc>
          <w:tcPr>
            <w:tcW w:w="2976" w:type="dxa"/>
          </w:tcPr>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More tha</w:t>
            </w:r>
            <w:r w:rsidRPr="00C14947">
              <w:rPr>
                <w:rFonts w:ascii="Arial" w:hAnsi="Arial" w:cs="Arial"/>
              </w:rPr>
              <w:t>n one room unusable, or use severely impaired by level of clutter over several rooms; this may include rubbish.</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Some items present that may increase risk of severity of fire – such as hoarded paper.</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Lack of essential utilities.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Environment causing </w:t>
            </w:r>
            <w:r w:rsidRPr="00C14947">
              <w:rPr>
                <w:rFonts w:ascii="Arial" w:hAnsi="Arial" w:cs="Arial"/>
              </w:rPr>
              <w:t>illness/ hospitalisation.</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Several animals present; some signs of neglect and/or animal faeces in property.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Signs of infestation that could spread.</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Strong odour.</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Non-fatal fire in last 6 months.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May be some items in communal area, but not constantly.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Light odour in communal areas.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Medium risk of harm or injury.</w:t>
            </w: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     </w:t>
            </w:r>
          </w:p>
          <w:p w:rsidR="001B105F" w:rsidRPr="00C14947" w:rsidRDefault="00DE0210" w:rsidP="00C14947">
            <w:pPr>
              <w:autoSpaceDE w:val="0"/>
              <w:autoSpaceDN w:val="0"/>
              <w:adjustRightInd w:val="0"/>
              <w:spacing w:before="60" w:after="60"/>
              <w:rPr>
                <w:rFonts w:ascii="Arial" w:hAnsi="Arial" w:cs="Arial"/>
              </w:rPr>
            </w:pPr>
          </w:p>
        </w:tc>
        <w:tc>
          <w:tcPr>
            <w:tcW w:w="2976" w:type="dxa"/>
          </w:tcPr>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Hoarding significant number of items which severely limits free movement, including entry/exit.</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Imminent fire risks (Consider: Flammable materials, working smoke alarms, evidence of pre</w:t>
            </w:r>
            <w:r w:rsidRPr="00C14947">
              <w:rPr>
                <w:rFonts w:ascii="Arial" w:hAnsi="Arial" w:cs="Arial"/>
              </w:rPr>
              <w:t>vious fire/smoke damage anywhere).</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Unstable piles/avalanche risk, leading to severe injury, permanent disability.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Disconnection of essential utilities and declining support to rectify this. </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Numerous animals present; with obvious signs of neglect, </w:t>
            </w:r>
            <w:r w:rsidRPr="00C14947">
              <w:rPr>
                <w:rFonts w:ascii="Arial" w:hAnsi="Arial" w:cs="Arial"/>
              </w:rPr>
              <w:t>faeces present in property.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Eviction/ legal enforcement by Environmental health and/ or housing.</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Severe infestation that could spread, causing infection or injury.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Severe infestation to neighbours and surrounding properties.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Inability to safely access </w:t>
            </w:r>
            <w:r w:rsidRPr="00C14947">
              <w:rPr>
                <w:rFonts w:ascii="Arial" w:hAnsi="Arial" w:cs="Arial"/>
              </w:rPr>
              <w:t>and use communal areas due to clutter impinging on these areas from affected property.</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lastRenderedPageBreak/>
              <w:t>Clutter spreading to the garden and surrounding areas.</w:t>
            </w:r>
          </w:p>
          <w:p w:rsidR="001B105F" w:rsidRPr="00C14947" w:rsidRDefault="00DE0210" w:rsidP="00C14947">
            <w:pPr>
              <w:autoSpaceDE w:val="0"/>
              <w:autoSpaceDN w:val="0"/>
              <w:adjustRightInd w:val="0"/>
              <w:spacing w:before="60" w:after="60"/>
              <w:rPr>
                <w:rFonts w:ascii="Arial" w:hAnsi="Arial" w:cs="Arial"/>
              </w:rPr>
            </w:pPr>
          </w:p>
          <w:p w:rsidR="001B105F" w:rsidRPr="00C14947" w:rsidRDefault="00DE0210" w:rsidP="00C14947">
            <w:pPr>
              <w:autoSpaceDE w:val="0"/>
              <w:autoSpaceDN w:val="0"/>
              <w:adjustRightInd w:val="0"/>
              <w:spacing w:before="60" w:after="60"/>
              <w:rPr>
                <w:rFonts w:ascii="Arial" w:hAnsi="Arial" w:cs="Arial"/>
              </w:rPr>
            </w:pPr>
            <w:r w:rsidRPr="00C14947">
              <w:rPr>
                <w:rFonts w:ascii="Arial" w:hAnsi="Arial" w:cs="Arial"/>
              </w:rPr>
              <w:t xml:space="preserve">High risk of severe injury and/or death as a result of the above.          </w:t>
            </w:r>
          </w:p>
        </w:tc>
      </w:tr>
    </w:tbl>
    <w:p w:rsidR="00C14947" w:rsidRDefault="00DE0210" w:rsidP="007A7726">
      <w:pPr>
        <w:rPr>
          <w:rFonts w:ascii="Arial" w:hAnsi="Arial" w:cs="Arial"/>
          <w:color w:val="000000" w:themeColor="text1"/>
          <w:u w:val="single"/>
        </w:rPr>
      </w:pPr>
      <w:r>
        <w:rPr>
          <w:rFonts w:ascii="Arial" w:hAnsi="Arial" w:cs="Arial"/>
          <w:color w:val="000000" w:themeColor="text1"/>
          <w:u w:val="single"/>
        </w:rPr>
        <w:lastRenderedPageBreak/>
        <w:br w:type="page"/>
      </w:r>
    </w:p>
    <w:p w:rsidR="00263CFE" w:rsidRDefault="00DE0210" w:rsidP="005C6B17">
      <w:pPr>
        <w:pStyle w:val="Heading3"/>
        <w:tabs>
          <w:tab w:val="left" w:pos="4886"/>
        </w:tabs>
      </w:pPr>
      <w:bookmarkStart w:id="13" w:name="_Toc532810303"/>
      <w:r>
        <w:lastRenderedPageBreak/>
        <w:t>Contact information</w:t>
      </w:r>
      <w:bookmarkEnd w:id="13"/>
    </w:p>
    <w:p w:rsidR="00390642" w:rsidRDefault="00DE0210" w:rsidP="00C14947">
      <w:pPr>
        <w:shd w:val="clear" w:color="auto" w:fill="FFFFFF"/>
        <w:spacing w:after="0" w:line="336" w:lineRule="auto"/>
        <w:rPr>
          <w:rFonts w:ascii="Arial" w:hAnsi="Arial" w:cs="Arial"/>
          <w:b/>
          <w:caps/>
          <w:color w:val="000000" w:themeColor="text1"/>
        </w:rPr>
      </w:pPr>
      <w:r w:rsidRPr="00A849D9">
        <w:rPr>
          <w:rFonts w:ascii="Arial" w:hAnsi="Arial" w:cs="Arial"/>
          <w:b/>
          <w:caps/>
          <w:color w:val="000000" w:themeColor="text1"/>
        </w:rPr>
        <w:t>for staff who</w:t>
      </w:r>
      <w:r w:rsidRPr="00A849D9">
        <w:rPr>
          <w:rFonts w:ascii="Arial" w:hAnsi="Arial" w:cs="Arial"/>
          <w:b/>
          <w:caps/>
          <w:color w:val="000000" w:themeColor="text1"/>
        </w:rPr>
        <w:t xml:space="preserve"> have concerns around self-neglect (including hoarding)</w:t>
      </w:r>
    </w:p>
    <w:p w:rsidR="007A7726" w:rsidRDefault="00DE0210" w:rsidP="00C14947">
      <w:pPr>
        <w:shd w:val="clear" w:color="auto" w:fill="FFFFFF"/>
        <w:spacing w:after="0" w:line="336" w:lineRule="auto"/>
        <w:rPr>
          <w:rFonts w:ascii="Arial" w:hAnsi="Arial" w:cs="Arial"/>
          <w:b/>
          <w:i/>
          <w:color w:val="000000" w:themeColor="text1"/>
        </w:rPr>
      </w:pPr>
      <w:r>
        <w:rPr>
          <w:rFonts w:ascii="Arial" w:hAnsi="Arial" w:cs="Arial"/>
          <w:b/>
          <w:i/>
          <w:color w:val="000000" w:themeColor="text1"/>
        </w:rPr>
        <w:t>D</w:t>
      </w:r>
      <w:r w:rsidRPr="00A849D9">
        <w:rPr>
          <w:rFonts w:ascii="Arial" w:hAnsi="Arial" w:cs="Arial"/>
          <w:b/>
          <w:i/>
          <w:color w:val="000000" w:themeColor="text1"/>
        </w:rPr>
        <w:t xml:space="preserve">etails correct as of </w:t>
      </w:r>
      <w:r>
        <w:rPr>
          <w:rFonts w:ascii="Arial" w:hAnsi="Arial" w:cs="Arial"/>
          <w:b/>
          <w:i/>
          <w:color w:val="000000" w:themeColor="text1"/>
        </w:rPr>
        <w:t>D</w:t>
      </w:r>
      <w:r w:rsidRPr="00A849D9">
        <w:rPr>
          <w:rFonts w:ascii="Arial" w:hAnsi="Arial" w:cs="Arial"/>
          <w:b/>
          <w:i/>
          <w:color w:val="000000" w:themeColor="text1"/>
        </w:rPr>
        <w:t>ecember 2018</w:t>
      </w:r>
    </w:p>
    <w:p w:rsidR="00A849D9" w:rsidRPr="00CA6029" w:rsidRDefault="00DE0210" w:rsidP="00C14947">
      <w:pPr>
        <w:shd w:val="clear" w:color="auto" w:fill="FFFFFF"/>
        <w:spacing w:after="0" w:line="336" w:lineRule="auto"/>
        <w:rPr>
          <w:rFonts w:ascii="Arial" w:hAnsi="Arial" w:cs="Arial"/>
          <w:b/>
          <w:color w:val="000000" w:themeColor="text1"/>
        </w:rPr>
      </w:pPr>
      <w:r w:rsidRPr="00CA6029">
        <w:rPr>
          <w:rFonts w:ascii="Arial" w:hAnsi="Arial" w:cs="Arial"/>
          <w:b/>
          <w:color w:val="000000" w:themeColor="text1"/>
          <w:highlight w:val="yellow"/>
        </w:rPr>
        <w:t>CONTENT TO BE ADVISED BY BOARD MEMBERS</w:t>
      </w:r>
    </w:p>
    <w:tbl>
      <w:tblPr>
        <w:tblStyle w:val="TableGrid"/>
        <w:tblW w:w="10490" w:type="dxa"/>
        <w:tblInd w:w="-147" w:type="dxa"/>
        <w:tblLayout w:type="fixed"/>
        <w:tblLook w:val="04A0" w:firstRow="1" w:lastRow="0" w:firstColumn="1" w:lastColumn="0" w:noHBand="0" w:noVBand="1"/>
      </w:tblPr>
      <w:tblGrid>
        <w:gridCol w:w="1985"/>
        <w:gridCol w:w="2835"/>
        <w:gridCol w:w="2835"/>
        <w:gridCol w:w="2835"/>
      </w:tblGrid>
      <w:tr w:rsidR="00CA297B" w:rsidTr="00177B99">
        <w:tc>
          <w:tcPr>
            <w:tcW w:w="1985" w:type="dxa"/>
            <w:shd w:val="clear" w:color="auto" w:fill="9CC2E5" w:themeFill="accent1" w:themeFillTint="99"/>
          </w:tcPr>
          <w:p w:rsidR="007A7726" w:rsidRPr="00501A94" w:rsidRDefault="00DE0210" w:rsidP="00177B99">
            <w:pPr>
              <w:spacing w:before="120" w:after="120"/>
              <w:rPr>
                <w:rFonts w:ascii="Arial" w:hAnsi="Arial" w:cs="Arial"/>
                <w:b/>
              </w:rPr>
            </w:pPr>
            <w:r w:rsidRPr="00501A94">
              <w:rPr>
                <w:rFonts w:ascii="Arial" w:hAnsi="Arial" w:cs="Arial"/>
                <w:b/>
              </w:rPr>
              <w:t>Organisation</w:t>
            </w:r>
          </w:p>
        </w:tc>
        <w:tc>
          <w:tcPr>
            <w:tcW w:w="2835" w:type="dxa"/>
            <w:shd w:val="clear" w:color="auto" w:fill="9CC2E5" w:themeFill="accent1" w:themeFillTint="99"/>
          </w:tcPr>
          <w:p w:rsidR="007A7726" w:rsidRPr="00501A94" w:rsidRDefault="00DE0210" w:rsidP="00177B99">
            <w:pPr>
              <w:spacing w:before="120" w:after="120"/>
              <w:rPr>
                <w:rFonts w:ascii="Arial" w:hAnsi="Arial" w:cs="Arial"/>
                <w:b/>
              </w:rPr>
            </w:pPr>
            <w:r w:rsidRPr="00501A94">
              <w:rPr>
                <w:rFonts w:ascii="Arial" w:hAnsi="Arial" w:cs="Arial"/>
                <w:b/>
              </w:rPr>
              <w:t>North</w:t>
            </w:r>
          </w:p>
        </w:tc>
        <w:tc>
          <w:tcPr>
            <w:tcW w:w="2835" w:type="dxa"/>
            <w:shd w:val="clear" w:color="auto" w:fill="9CC2E5" w:themeFill="accent1" w:themeFillTint="99"/>
          </w:tcPr>
          <w:p w:rsidR="007A7726" w:rsidRPr="00501A94" w:rsidRDefault="00DE0210" w:rsidP="00177B99">
            <w:pPr>
              <w:spacing w:before="120" w:after="120"/>
              <w:rPr>
                <w:rFonts w:ascii="Arial" w:hAnsi="Arial" w:cs="Arial"/>
                <w:b/>
              </w:rPr>
            </w:pPr>
            <w:r w:rsidRPr="00501A94">
              <w:rPr>
                <w:rFonts w:ascii="Arial" w:hAnsi="Arial" w:cs="Arial"/>
                <w:b/>
              </w:rPr>
              <w:t>Central</w:t>
            </w:r>
          </w:p>
        </w:tc>
        <w:tc>
          <w:tcPr>
            <w:tcW w:w="2835" w:type="dxa"/>
            <w:shd w:val="clear" w:color="auto" w:fill="9CC2E5" w:themeFill="accent1" w:themeFillTint="99"/>
          </w:tcPr>
          <w:p w:rsidR="007A7726" w:rsidRPr="00501A94" w:rsidRDefault="00DE0210" w:rsidP="00177B99">
            <w:pPr>
              <w:spacing w:before="120" w:after="120"/>
              <w:rPr>
                <w:rFonts w:ascii="Arial" w:hAnsi="Arial" w:cs="Arial"/>
                <w:b/>
              </w:rPr>
            </w:pPr>
            <w:r w:rsidRPr="00501A94">
              <w:rPr>
                <w:rFonts w:ascii="Arial" w:hAnsi="Arial" w:cs="Arial"/>
                <w:b/>
              </w:rPr>
              <w:t>East</w:t>
            </w:r>
          </w:p>
        </w:tc>
      </w:tr>
      <w:tr w:rsidR="00CA297B" w:rsidTr="00177B99">
        <w:trPr>
          <w:trHeight w:val="859"/>
        </w:trPr>
        <w:tc>
          <w:tcPr>
            <w:tcW w:w="1985" w:type="dxa"/>
          </w:tcPr>
          <w:p w:rsidR="007A7726" w:rsidRPr="00501A94" w:rsidRDefault="00DE0210" w:rsidP="00177B99">
            <w:pPr>
              <w:spacing w:before="120" w:after="120"/>
              <w:rPr>
                <w:rFonts w:ascii="Arial" w:hAnsi="Arial" w:cs="Arial"/>
                <w:b/>
              </w:rPr>
            </w:pPr>
            <w:r w:rsidRPr="00501A94">
              <w:rPr>
                <w:rFonts w:ascii="Arial" w:hAnsi="Arial" w:cs="Arial"/>
                <w:b/>
              </w:rPr>
              <w:t>Integrated/ Neighbourhood Teams</w:t>
            </w:r>
          </w:p>
        </w:tc>
        <w:tc>
          <w:tcPr>
            <w:tcW w:w="2835" w:type="dxa"/>
          </w:tcPr>
          <w:p w:rsidR="00390642" w:rsidRPr="00A849D9" w:rsidRDefault="00DE0210" w:rsidP="00390642">
            <w:pPr>
              <w:spacing w:before="120" w:after="120"/>
              <w:rPr>
                <w:rFonts w:ascii="Arial" w:hAnsi="Arial" w:cs="Arial"/>
                <w:i/>
              </w:rPr>
            </w:pPr>
            <w:r w:rsidRPr="00A849D9">
              <w:rPr>
                <w:rFonts w:ascii="Arial" w:hAnsi="Arial" w:cs="Arial"/>
                <w:i/>
              </w:rPr>
              <w:t>Fylde:</w:t>
            </w:r>
          </w:p>
          <w:p w:rsidR="00390642" w:rsidRDefault="00DE0210" w:rsidP="00390642">
            <w:pPr>
              <w:spacing w:before="120" w:after="120"/>
              <w:rPr>
                <w:rFonts w:ascii="Arial" w:hAnsi="Arial" w:cs="Arial"/>
                <w:i/>
              </w:rPr>
            </w:pPr>
          </w:p>
          <w:p w:rsidR="00390642" w:rsidRDefault="00DE0210" w:rsidP="00390642">
            <w:pPr>
              <w:spacing w:before="120" w:after="120"/>
              <w:rPr>
                <w:rFonts w:ascii="Arial" w:hAnsi="Arial" w:cs="Arial"/>
                <w:i/>
              </w:rPr>
            </w:pPr>
            <w:r w:rsidRPr="00A849D9">
              <w:rPr>
                <w:rFonts w:ascii="Arial" w:hAnsi="Arial" w:cs="Arial"/>
                <w:i/>
              </w:rPr>
              <w:t>Lancaster:</w:t>
            </w:r>
          </w:p>
          <w:p w:rsidR="00390642" w:rsidRPr="00390642" w:rsidRDefault="00DE0210" w:rsidP="00390642">
            <w:pPr>
              <w:spacing w:before="120" w:after="120"/>
              <w:rPr>
                <w:rFonts w:ascii="Arial" w:hAnsi="Arial" w:cs="Arial"/>
              </w:rPr>
            </w:pPr>
            <w:hyperlink r:id="rId11" w:history="1">
              <w:r w:rsidRPr="00C14947">
                <w:rPr>
                  <w:rStyle w:val="Hyperlink"/>
                  <w:rFonts w:ascii="Arial" w:hAnsi="Arial" w:cs="Arial"/>
                </w:rPr>
                <w:t>lancasterdistrictintegratedteam@lancashire.gov.uk</w:t>
              </w:r>
            </w:hyperlink>
            <w:r w:rsidRPr="00C14947">
              <w:rPr>
                <w:rFonts w:ascii="Arial" w:hAnsi="Arial" w:cs="Arial"/>
              </w:rPr>
              <w:t xml:space="preserve"> </w:t>
            </w:r>
          </w:p>
          <w:p w:rsidR="00390642" w:rsidRDefault="00DE0210" w:rsidP="00390642">
            <w:pPr>
              <w:spacing w:before="120" w:after="120"/>
              <w:rPr>
                <w:rFonts w:ascii="Arial" w:hAnsi="Arial" w:cs="Arial"/>
                <w:i/>
              </w:rPr>
            </w:pPr>
          </w:p>
          <w:p w:rsidR="00390642" w:rsidRPr="00A849D9" w:rsidRDefault="00DE0210" w:rsidP="00390642">
            <w:pPr>
              <w:spacing w:before="120" w:after="120"/>
              <w:rPr>
                <w:rFonts w:ascii="Arial" w:hAnsi="Arial" w:cs="Arial"/>
                <w:i/>
              </w:rPr>
            </w:pPr>
            <w:r w:rsidRPr="00A849D9">
              <w:rPr>
                <w:rFonts w:ascii="Arial" w:hAnsi="Arial" w:cs="Arial"/>
                <w:i/>
              </w:rPr>
              <w:t>Wyre:</w:t>
            </w:r>
          </w:p>
          <w:p w:rsidR="007A7726" w:rsidRPr="00C14947" w:rsidRDefault="00DE0210" w:rsidP="00177B99">
            <w:pPr>
              <w:spacing w:before="120" w:after="120"/>
              <w:rPr>
                <w:rFonts w:ascii="Arial" w:hAnsi="Arial" w:cs="Arial"/>
              </w:rPr>
            </w:pPr>
          </w:p>
          <w:p w:rsidR="007A7726" w:rsidRPr="00C14947" w:rsidRDefault="00DE0210" w:rsidP="00177B99">
            <w:pPr>
              <w:spacing w:before="120" w:after="120"/>
              <w:rPr>
                <w:rFonts w:ascii="Arial" w:hAnsi="Arial" w:cs="Arial"/>
              </w:rPr>
            </w:pPr>
          </w:p>
          <w:p w:rsidR="007A7726" w:rsidRPr="00C14947" w:rsidRDefault="00DE0210" w:rsidP="00177B99">
            <w:pPr>
              <w:spacing w:before="120" w:after="120"/>
              <w:rPr>
                <w:rFonts w:ascii="Arial" w:hAnsi="Arial" w:cs="Arial"/>
              </w:rPr>
            </w:pPr>
          </w:p>
        </w:tc>
        <w:tc>
          <w:tcPr>
            <w:tcW w:w="2835" w:type="dxa"/>
          </w:tcPr>
          <w:p w:rsidR="00390642" w:rsidRPr="00A849D9" w:rsidRDefault="00DE0210" w:rsidP="00390642">
            <w:pPr>
              <w:spacing w:before="120" w:after="120"/>
              <w:rPr>
                <w:rFonts w:ascii="Arial" w:hAnsi="Arial" w:cs="Arial"/>
                <w:i/>
              </w:rPr>
            </w:pPr>
            <w:r w:rsidRPr="00A849D9">
              <w:rPr>
                <w:rFonts w:ascii="Arial" w:hAnsi="Arial" w:cs="Arial"/>
                <w:i/>
              </w:rPr>
              <w:t>Chorley (PIVOT Team):</w:t>
            </w:r>
          </w:p>
          <w:p w:rsidR="00390642" w:rsidRPr="00C14947" w:rsidRDefault="00DE0210" w:rsidP="00390642">
            <w:pPr>
              <w:spacing w:before="120" w:after="120"/>
              <w:rPr>
                <w:rFonts w:ascii="Arial" w:hAnsi="Arial" w:cs="Arial"/>
              </w:rPr>
            </w:pPr>
            <w:r w:rsidRPr="00C14947">
              <w:rPr>
                <w:rFonts w:ascii="Arial" w:hAnsi="Arial" w:cs="Arial"/>
              </w:rPr>
              <w:t>Hayley Hughes (Chorley Borough Council)</w:t>
            </w:r>
          </w:p>
          <w:p w:rsidR="00390642" w:rsidRPr="00C14947" w:rsidRDefault="00DE0210" w:rsidP="00390642">
            <w:pPr>
              <w:spacing w:before="120" w:after="120"/>
              <w:rPr>
                <w:rFonts w:ascii="Arial" w:hAnsi="Arial" w:cs="Arial"/>
              </w:rPr>
            </w:pPr>
            <w:r w:rsidRPr="00C14947">
              <w:rPr>
                <w:rFonts w:ascii="Arial" w:hAnsi="Arial" w:cs="Arial"/>
              </w:rPr>
              <w:t>01257 515570</w:t>
            </w:r>
          </w:p>
          <w:p w:rsidR="00390642" w:rsidRDefault="00DE0210" w:rsidP="00390642">
            <w:pPr>
              <w:spacing w:before="120" w:after="120"/>
              <w:rPr>
                <w:rFonts w:ascii="Arial" w:hAnsi="Arial" w:cs="Arial"/>
              </w:rPr>
            </w:pPr>
            <w:hyperlink r:id="rId12" w:history="1">
              <w:r w:rsidRPr="00C14947">
                <w:rPr>
                  <w:rStyle w:val="Hyperlink"/>
                  <w:rFonts w:ascii="Arial" w:hAnsi="Arial" w:cs="Arial"/>
                </w:rPr>
                <w:t>hayley.hughes@chorley.gov.uk</w:t>
              </w:r>
            </w:hyperlink>
            <w:r w:rsidRPr="00C14947">
              <w:rPr>
                <w:rFonts w:ascii="Arial" w:hAnsi="Arial" w:cs="Arial"/>
              </w:rPr>
              <w:t xml:space="preserve"> </w:t>
            </w:r>
          </w:p>
          <w:p w:rsidR="00177B99" w:rsidRPr="00A849D9" w:rsidRDefault="00DE0210" w:rsidP="00390642">
            <w:pPr>
              <w:spacing w:before="120" w:after="120"/>
              <w:rPr>
                <w:rFonts w:ascii="Arial" w:hAnsi="Arial" w:cs="Arial"/>
                <w:i/>
              </w:rPr>
            </w:pPr>
            <w:r w:rsidRPr="00A849D9">
              <w:rPr>
                <w:rFonts w:ascii="Arial" w:hAnsi="Arial" w:cs="Arial"/>
                <w:i/>
              </w:rPr>
              <w:t>Preston:</w:t>
            </w:r>
          </w:p>
          <w:p w:rsidR="007A7726" w:rsidRPr="00C14947" w:rsidRDefault="00DE0210" w:rsidP="00177B99">
            <w:pPr>
              <w:spacing w:before="120" w:after="120"/>
              <w:rPr>
                <w:rFonts w:ascii="Arial" w:hAnsi="Arial" w:cs="Arial"/>
              </w:rPr>
            </w:pPr>
            <w:hyperlink r:id="rId13" w:history="1">
              <w:r w:rsidRPr="00C14947">
                <w:rPr>
                  <w:rStyle w:val="Hyperlink"/>
                  <w:rFonts w:ascii="Arial" w:hAnsi="Arial" w:cs="Arial"/>
                </w:rPr>
                <w:t>prestonearlyaction@lancashire.gov.uk</w:t>
              </w:r>
            </w:hyperlink>
            <w:r w:rsidRPr="00C14947">
              <w:rPr>
                <w:rFonts w:ascii="Arial" w:hAnsi="Arial" w:cs="Arial"/>
              </w:rPr>
              <w:t xml:space="preserve"> </w:t>
            </w:r>
          </w:p>
          <w:p w:rsidR="00390642" w:rsidRPr="00A849D9" w:rsidRDefault="00DE0210" w:rsidP="00390642">
            <w:pPr>
              <w:spacing w:before="120" w:after="120"/>
              <w:rPr>
                <w:rFonts w:ascii="Arial" w:hAnsi="Arial" w:cs="Arial"/>
                <w:i/>
              </w:rPr>
            </w:pPr>
            <w:r w:rsidRPr="00A849D9">
              <w:rPr>
                <w:rFonts w:ascii="Arial" w:hAnsi="Arial" w:cs="Arial"/>
                <w:i/>
              </w:rPr>
              <w:t xml:space="preserve">South </w:t>
            </w:r>
            <w:proofErr w:type="spellStart"/>
            <w:r w:rsidRPr="00A849D9">
              <w:rPr>
                <w:rFonts w:ascii="Arial" w:hAnsi="Arial" w:cs="Arial"/>
                <w:i/>
              </w:rPr>
              <w:t>Ribble</w:t>
            </w:r>
            <w:proofErr w:type="spellEnd"/>
            <w:r w:rsidRPr="00A849D9">
              <w:rPr>
                <w:rFonts w:ascii="Arial" w:hAnsi="Arial" w:cs="Arial"/>
                <w:i/>
              </w:rPr>
              <w:t>:</w:t>
            </w:r>
          </w:p>
          <w:p w:rsidR="007A7726" w:rsidRPr="00C14947" w:rsidRDefault="00DE0210" w:rsidP="00390642">
            <w:pPr>
              <w:spacing w:before="120" w:after="120"/>
              <w:rPr>
                <w:rFonts w:ascii="Arial" w:hAnsi="Arial" w:cs="Arial"/>
              </w:rPr>
            </w:pPr>
            <w:hyperlink r:id="rId14" w:history="1">
              <w:r w:rsidRPr="00C14947">
                <w:rPr>
                  <w:rStyle w:val="Hyperlink"/>
                  <w:rFonts w:ascii="Arial" w:hAnsi="Arial" w:cs="Arial"/>
                </w:rPr>
                <w:t>srintegratedteam@lancashire.gov.uk</w:t>
              </w:r>
            </w:hyperlink>
          </w:p>
          <w:p w:rsidR="00177B99" w:rsidRPr="00A849D9" w:rsidRDefault="00DE0210" w:rsidP="00177B99">
            <w:pPr>
              <w:spacing w:before="120" w:after="120"/>
              <w:rPr>
                <w:rFonts w:ascii="Arial" w:hAnsi="Arial" w:cs="Arial"/>
                <w:i/>
              </w:rPr>
            </w:pPr>
            <w:r w:rsidRPr="00A849D9">
              <w:rPr>
                <w:rFonts w:ascii="Arial" w:hAnsi="Arial" w:cs="Arial"/>
                <w:i/>
              </w:rPr>
              <w:t>West Lancs:</w:t>
            </w:r>
          </w:p>
          <w:p w:rsidR="007A7726" w:rsidRPr="00C14947" w:rsidRDefault="00DE0210" w:rsidP="00177B99">
            <w:pPr>
              <w:spacing w:before="120" w:after="120"/>
              <w:rPr>
                <w:rFonts w:ascii="Arial" w:hAnsi="Arial" w:cs="Arial"/>
              </w:rPr>
            </w:pPr>
            <w:hyperlink r:id="rId15" w:history="1">
              <w:r w:rsidRPr="00C14947">
                <w:rPr>
                  <w:rStyle w:val="Hyperlink"/>
                  <w:rFonts w:ascii="Arial" w:hAnsi="Arial" w:cs="Arial"/>
                </w:rPr>
                <w:t>WLintegratedteam@lancashire.gov.uk</w:t>
              </w:r>
            </w:hyperlink>
            <w:r w:rsidRPr="00C14947">
              <w:rPr>
                <w:rFonts w:ascii="Arial" w:hAnsi="Arial" w:cs="Arial"/>
              </w:rPr>
              <w:t xml:space="preserve">  </w:t>
            </w:r>
          </w:p>
          <w:p w:rsidR="007A7726" w:rsidRPr="00C14947" w:rsidRDefault="00DE0210" w:rsidP="00177B99">
            <w:pPr>
              <w:spacing w:before="120" w:after="120"/>
              <w:rPr>
                <w:rFonts w:ascii="Arial" w:hAnsi="Arial" w:cs="Arial"/>
              </w:rPr>
            </w:pPr>
            <w:r w:rsidRPr="00C14947">
              <w:rPr>
                <w:rFonts w:ascii="Arial" w:hAnsi="Arial" w:cs="Arial"/>
              </w:rPr>
              <w:t xml:space="preserve"> </w:t>
            </w:r>
          </w:p>
        </w:tc>
        <w:tc>
          <w:tcPr>
            <w:tcW w:w="2835" w:type="dxa"/>
          </w:tcPr>
          <w:p w:rsidR="00390642" w:rsidRPr="00A849D9" w:rsidRDefault="00DE0210" w:rsidP="00390642">
            <w:pPr>
              <w:spacing w:before="120" w:after="120"/>
              <w:rPr>
                <w:rFonts w:ascii="Arial" w:hAnsi="Arial" w:cs="Arial"/>
                <w:i/>
              </w:rPr>
            </w:pPr>
            <w:r w:rsidRPr="00A849D9">
              <w:rPr>
                <w:rFonts w:ascii="Arial" w:hAnsi="Arial" w:cs="Arial"/>
                <w:i/>
              </w:rPr>
              <w:t>Burnley</w:t>
            </w:r>
            <w:r>
              <w:rPr>
                <w:rFonts w:ascii="Arial" w:hAnsi="Arial" w:cs="Arial"/>
                <w:i/>
              </w:rPr>
              <w:t>:</w:t>
            </w:r>
          </w:p>
          <w:p w:rsidR="00390642" w:rsidRDefault="00DE0210" w:rsidP="00390642">
            <w:pPr>
              <w:spacing w:before="120" w:after="120"/>
              <w:rPr>
                <w:rFonts w:ascii="Arial" w:hAnsi="Arial" w:cs="Arial"/>
              </w:rPr>
            </w:pPr>
          </w:p>
          <w:p w:rsidR="00390642" w:rsidRPr="00A849D9" w:rsidRDefault="00DE0210" w:rsidP="00390642">
            <w:pPr>
              <w:spacing w:before="120" w:after="120"/>
              <w:rPr>
                <w:rFonts w:ascii="Arial" w:hAnsi="Arial" w:cs="Arial"/>
                <w:i/>
              </w:rPr>
            </w:pPr>
            <w:r w:rsidRPr="00A849D9">
              <w:rPr>
                <w:rFonts w:ascii="Arial" w:hAnsi="Arial" w:cs="Arial"/>
                <w:i/>
              </w:rPr>
              <w:t>Hyndburn</w:t>
            </w:r>
            <w:r>
              <w:rPr>
                <w:rFonts w:ascii="Arial" w:hAnsi="Arial" w:cs="Arial"/>
                <w:i/>
              </w:rPr>
              <w:t>:</w:t>
            </w:r>
          </w:p>
          <w:p w:rsidR="00390642" w:rsidRDefault="00DE0210" w:rsidP="00390642">
            <w:pPr>
              <w:spacing w:before="120" w:after="120"/>
              <w:rPr>
                <w:rFonts w:ascii="Arial" w:hAnsi="Arial" w:cs="Arial"/>
              </w:rPr>
            </w:pPr>
          </w:p>
          <w:p w:rsidR="00390642" w:rsidRPr="00A849D9" w:rsidRDefault="00DE0210" w:rsidP="00390642">
            <w:pPr>
              <w:spacing w:before="120" w:after="120"/>
              <w:rPr>
                <w:rFonts w:ascii="Arial" w:hAnsi="Arial" w:cs="Arial"/>
                <w:i/>
              </w:rPr>
            </w:pPr>
            <w:r w:rsidRPr="00A849D9">
              <w:rPr>
                <w:rFonts w:ascii="Arial" w:hAnsi="Arial" w:cs="Arial"/>
                <w:i/>
              </w:rPr>
              <w:t>Pendle</w:t>
            </w:r>
            <w:r>
              <w:rPr>
                <w:rFonts w:ascii="Arial" w:hAnsi="Arial" w:cs="Arial"/>
                <w:i/>
              </w:rPr>
              <w:t>:</w:t>
            </w:r>
          </w:p>
          <w:p w:rsidR="00390642" w:rsidRDefault="00DE0210" w:rsidP="00390642">
            <w:pPr>
              <w:spacing w:before="120" w:after="120"/>
              <w:rPr>
                <w:rFonts w:ascii="Arial" w:hAnsi="Arial" w:cs="Arial"/>
              </w:rPr>
            </w:pPr>
          </w:p>
          <w:p w:rsidR="00390642" w:rsidRPr="00A849D9" w:rsidRDefault="00DE0210" w:rsidP="00390642">
            <w:pPr>
              <w:spacing w:before="120" w:after="120"/>
              <w:rPr>
                <w:rFonts w:ascii="Arial" w:hAnsi="Arial" w:cs="Arial"/>
                <w:i/>
              </w:rPr>
            </w:pPr>
            <w:proofErr w:type="spellStart"/>
            <w:r w:rsidRPr="00A849D9">
              <w:rPr>
                <w:rFonts w:ascii="Arial" w:hAnsi="Arial" w:cs="Arial"/>
                <w:i/>
              </w:rPr>
              <w:t>Ribble</w:t>
            </w:r>
            <w:proofErr w:type="spellEnd"/>
            <w:r w:rsidRPr="00A849D9">
              <w:rPr>
                <w:rFonts w:ascii="Arial" w:hAnsi="Arial" w:cs="Arial"/>
                <w:i/>
              </w:rPr>
              <w:t xml:space="preserve"> Valley</w:t>
            </w:r>
            <w:r>
              <w:rPr>
                <w:rFonts w:ascii="Arial" w:hAnsi="Arial" w:cs="Arial"/>
                <w:i/>
              </w:rPr>
              <w:t>:</w:t>
            </w:r>
          </w:p>
          <w:p w:rsidR="00390642" w:rsidRDefault="00DE0210" w:rsidP="00390642">
            <w:pPr>
              <w:spacing w:before="120" w:after="120"/>
              <w:rPr>
                <w:rFonts w:ascii="Arial" w:hAnsi="Arial" w:cs="Arial"/>
              </w:rPr>
            </w:pPr>
          </w:p>
          <w:p w:rsidR="00390642" w:rsidRPr="00A849D9" w:rsidRDefault="00DE0210" w:rsidP="00390642">
            <w:pPr>
              <w:spacing w:before="120" w:after="120"/>
              <w:rPr>
                <w:rFonts w:ascii="Arial" w:hAnsi="Arial" w:cs="Arial"/>
                <w:i/>
              </w:rPr>
            </w:pPr>
            <w:r w:rsidRPr="00A849D9">
              <w:rPr>
                <w:rFonts w:ascii="Arial" w:hAnsi="Arial" w:cs="Arial"/>
                <w:i/>
              </w:rPr>
              <w:t>Rossenda</w:t>
            </w:r>
            <w:r w:rsidRPr="00A849D9">
              <w:rPr>
                <w:rFonts w:ascii="Arial" w:hAnsi="Arial" w:cs="Arial"/>
                <w:i/>
              </w:rPr>
              <w:t>le</w:t>
            </w:r>
            <w:r>
              <w:rPr>
                <w:rFonts w:ascii="Arial" w:hAnsi="Arial" w:cs="Arial"/>
                <w:i/>
              </w:rPr>
              <w:t>:</w:t>
            </w:r>
          </w:p>
          <w:p w:rsidR="007A7726" w:rsidRDefault="00DE0210" w:rsidP="00390642">
            <w:pPr>
              <w:spacing w:before="120" w:after="120"/>
              <w:rPr>
                <w:rFonts w:ascii="Arial" w:hAnsi="Arial" w:cs="Arial"/>
              </w:rPr>
            </w:pPr>
          </w:p>
          <w:p w:rsidR="00390642" w:rsidRPr="00C14947" w:rsidRDefault="00DE0210" w:rsidP="00390642">
            <w:pPr>
              <w:spacing w:before="120" w:after="120"/>
              <w:rPr>
                <w:rFonts w:ascii="Arial" w:hAnsi="Arial" w:cs="Arial"/>
              </w:rPr>
            </w:pPr>
          </w:p>
        </w:tc>
      </w:tr>
      <w:tr w:rsidR="00CA297B" w:rsidTr="00177B99">
        <w:trPr>
          <w:trHeight w:val="231"/>
        </w:trPr>
        <w:tc>
          <w:tcPr>
            <w:tcW w:w="1985" w:type="dxa"/>
          </w:tcPr>
          <w:p w:rsidR="007A7726" w:rsidRPr="00501A94" w:rsidRDefault="00DE0210" w:rsidP="00177B99">
            <w:pPr>
              <w:spacing w:before="120" w:after="120"/>
              <w:rPr>
                <w:rFonts w:ascii="Arial" w:hAnsi="Arial" w:cs="Arial"/>
                <w:b/>
              </w:rPr>
            </w:pPr>
            <w:r w:rsidRPr="00501A94">
              <w:rPr>
                <w:rFonts w:ascii="Arial" w:hAnsi="Arial" w:cs="Arial"/>
                <w:b/>
              </w:rPr>
              <w:t>Police</w:t>
            </w:r>
          </w:p>
        </w:tc>
        <w:tc>
          <w:tcPr>
            <w:tcW w:w="2835" w:type="dxa"/>
          </w:tcPr>
          <w:p w:rsidR="007A7726" w:rsidRPr="00C14947" w:rsidRDefault="00DE0210" w:rsidP="00177B99">
            <w:pPr>
              <w:spacing w:before="120" w:after="120"/>
              <w:rPr>
                <w:rFonts w:ascii="Arial" w:hAnsi="Arial" w:cs="Arial"/>
              </w:rPr>
            </w:pPr>
          </w:p>
        </w:tc>
        <w:tc>
          <w:tcPr>
            <w:tcW w:w="2835" w:type="dxa"/>
          </w:tcPr>
          <w:p w:rsidR="007A7726" w:rsidRPr="00C14947" w:rsidRDefault="00DE0210" w:rsidP="00177B99">
            <w:pPr>
              <w:spacing w:before="120" w:after="120"/>
              <w:rPr>
                <w:rFonts w:ascii="Arial" w:hAnsi="Arial" w:cs="Arial"/>
              </w:rPr>
            </w:pPr>
          </w:p>
        </w:tc>
        <w:tc>
          <w:tcPr>
            <w:tcW w:w="2835" w:type="dxa"/>
          </w:tcPr>
          <w:p w:rsidR="007A7726" w:rsidRPr="00C14947" w:rsidRDefault="00DE0210" w:rsidP="00177B99">
            <w:pPr>
              <w:spacing w:before="120" w:after="120"/>
              <w:rPr>
                <w:rFonts w:ascii="Arial" w:hAnsi="Arial" w:cs="Arial"/>
              </w:rPr>
            </w:pPr>
          </w:p>
        </w:tc>
      </w:tr>
      <w:tr w:rsidR="00CA297B" w:rsidTr="00177B99">
        <w:trPr>
          <w:trHeight w:val="225"/>
        </w:trPr>
        <w:tc>
          <w:tcPr>
            <w:tcW w:w="1985" w:type="dxa"/>
          </w:tcPr>
          <w:p w:rsidR="007A7726" w:rsidRPr="00501A94" w:rsidRDefault="00DE0210" w:rsidP="00177B99">
            <w:pPr>
              <w:spacing w:before="120" w:after="120"/>
              <w:rPr>
                <w:rFonts w:ascii="Arial" w:hAnsi="Arial" w:cs="Arial"/>
                <w:b/>
              </w:rPr>
            </w:pPr>
            <w:r w:rsidRPr="00501A94">
              <w:rPr>
                <w:rFonts w:ascii="Arial" w:hAnsi="Arial" w:cs="Arial"/>
                <w:b/>
              </w:rPr>
              <w:t>Fire</w:t>
            </w:r>
          </w:p>
        </w:tc>
        <w:tc>
          <w:tcPr>
            <w:tcW w:w="2835" w:type="dxa"/>
          </w:tcPr>
          <w:p w:rsidR="007A7726" w:rsidRPr="00C14947" w:rsidRDefault="00DE0210" w:rsidP="00177B99">
            <w:pPr>
              <w:spacing w:before="120" w:after="120"/>
              <w:rPr>
                <w:rFonts w:ascii="Arial" w:hAnsi="Arial" w:cs="Arial"/>
              </w:rPr>
            </w:pPr>
          </w:p>
        </w:tc>
        <w:tc>
          <w:tcPr>
            <w:tcW w:w="2835" w:type="dxa"/>
          </w:tcPr>
          <w:p w:rsidR="007A7726" w:rsidRPr="00C14947" w:rsidRDefault="00DE0210" w:rsidP="00177B99">
            <w:pPr>
              <w:spacing w:before="120" w:after="120"/>
              <w:rPr>
                <w:rFonts w:ascii="Arial" w:hAnsi="Arial" w:cs="Arial"/>
              </w:rPr>
            </w:pPr>
          </w:p>
        </w:tc>
        <w:tc>
          <w:tcPr>
            <w:tcW w:w="2835" w:type="dxa"/>
          </w:tcPr>
          <w:p w:rsidR="007A7726" w:rsidRPr="00C14947" w:rsidRDefault="00DE0210" w:rsidP="00177B99">
            <w:pPr>
              <w:spacing w:before="120" w:after="120"/>
              <w:rPr>
                <w:rFonts w:ascii="Arial" w:hAnsi="Arial" w:cs="Arial"/>
              </w:rPr>
            </w:pPr>
          </w:p>
        </w:tc>
      </w:tr>
      <w:tr w:rsidR="00CA297B" w:rsidTr="00177B99">
        <w:trPr>
          <w:trHeight w:val="375"/>
        </w:trPr>
        <w:tc>
          <w:tcPr>
            <w:tcW w:w="1985" w:type="dxa"/>
          </w:tcPr>
          <w:p w:rsidR="007A7726" w:rsidRPr="00501A94" w:rsidRDefault="00DE0210" w:rsidP="00177B99">
            <w:pPr>
              <w:spacing w:before="120" w:after="120"/>
              <w:rPr>
                <w:rFonts w:ascii="Arial" w:hAnsi="Arial" w:cs="Arial"/>
                <w:b/>
              </w:rPr>
            </w:pPr>
            <w:r w:rsidRPr="00501A94">
              <w:rPr>
                <w:rFonts w:ascii="Arial" w:hAnsi="Arial" w:cs="Arial"/>
                <w:b/>
              </w:rPr>
              <w:t>Health</w:t>
            </w:r>
          </w:p>
        </w:tc>
        <w:tc>
          <w:tcPr>
            <w:tcW w:w="2835" w:type="dxa"/>
          </w:tcPr>
          <w:p w:rsidR="007A7726" w:rsidRPr="00C14947" w:rsidRDefault="00DE0210" w:rsidP="00177B99">
            <w:pPr>
              <w:spacing w:before="120" w:after="120"/>
              <w:rPr>
                <w:rFonts w:ascii="Arial" w:hAnsi="Arial" w:cs="Arial"/>
              </w:rPr>
            </w:pPr>
          </w:p>
        </w:tc>
        <w:tc>
          <w:tcPr>
            <w:tcW w:w="2835" w:type="dxa"/>
          </w:tcPr>
          <w:p w:rsidR="007A7726" w:rsidRPr="00C14947" w:rsidRDefault="00DE0210" w:rsidP="00177B99">
            <w:pPr>
              <w:spacing w:before="120" w:after="120"/>
              <w:rPr>
                <w:rFonts w:ascii="Arial" w:hAnsi="Arial" w:cs="Arial"/>
              </w:rPr>
            </w:pPr>
          </w:p>
        </w:tc>
        <w:tc>
          <w:tcPr>
            <w:tcW w:w="2835" w:type="dxa"/>
          </w:tcPr>
          <w:p w:rsidR="007A7726" w:rsidRPr="00C14947" w:rsidRDefault="00DE0210" w:rsidP="00177B99">
            <w:pPr>
              <w:spacing w:before="120" w:after="120"/>
              <w:rPr>
                <w:rFonts w:ascii="Arial" w:hAnsi="Arial" w:cs="Arial"/>
              </w:rPr>
            </w:pPr>
          </w:p>
        </w:tc>
      </w:tr>
      <w:tr w:rsidR="00CA297B" w:rsidTr="00177B99">
        <w:trPr>
          <w:trHeight w:val="375"/>
        </w:trPr>
        <w:tc>
          <w:tcPr>
            <w:tcW w:w="1985" w:type="dxa"/>
          </w:tcPr>
          <w:p w:rsidR="00501A94" w:rsidRPr="00501A94" w:rsidRDefault="00DE0210" w:rsidP="00177B99">
            <w:pPr>
              <w:spacing w:before="120" w:after="120"/>
              <w:rPr>
                <w:rFonts w:ascii="Arial" w:hAnsi="Arial" w:cs="Arial"/>
                <w:b/>
              </w:rPr>
            </w:pPr>
            <w:r>
              <w:rPr>
                <w:rFonts w:ascii="Arial" w:hAnsi="Arial" w:cs="Arial"/>
                <w:b/>
              </w:rPr>
              <w:t>District Councils (Environmental Health and Housing)</w:t>
            </w:r>
          </w:p>
        </w:tc>
        <w:tc>
          <w:tcPr>
            <w:tcW w:w="2835" w:type="dxa"/>
          </w:tcPr>
          <w:p w:rsidR="00177B99" w:rsidRPr="00A849D9" w:rsidRDefault="00DE0210" w:rsidP="00177B99">
            <w:pPr>
              <w:spacing w:before="120" w:after="120"/>
              <w:rPr>
                <w:rFonts w:ascii="Arial" w:hAnsi="Arial" w:cs="Arial"/>
                <w:i/>
              </w:rPr>
            </w:pPr>
            <w:r w:rsidRPr="00A849D9">
              <w:rPr>
                <w:rFonts w:ascii="Arial" w:hAnsi="Arial" w:cs="Arial"/>
                <w:i/>
              </w:rPr>
              <w:t>Fylde:</w:t>
            </w:r>
          </w:p>
          <w:p w:rsidR="00501A94" w:rsidRDefault="00DE0210" w:rsidP="00177B99">
            <w:pPr>
              <w:spacing w:before="120" w:after="120"/>
              <w:rPr>
                <w:rFonts w:ascii="Arial" w:hAnsi="Arial" w:cs="Arial"/>
              </w:rPr>
            </w:pPr>
            <w:r>
              <w:rPr>
                <w:rFonts w:ascii="Arial" w:hAnsi="Arial" w:cs="Arial"/>
              </w:rPr>
              <w:t>01253 658658</w:t>
            </w:r>
          </w:p>
          <w:p w:rsidR="00177B99" w:rsidRPr="00A849D9" w:rsidRDefault="00DE0210" w:rsidP="00177B99">
            <w:pPr>
              <w:spacing w:before="120" w:after="120"/>
              <w:rPr>
                <w:rFonts w:ascii="Arial" w:hAnsi="Arial" w:cs="Arial"/>
                <w:i/>
              </w:rPr>
            </w:pPr>
            <w:r w:rsidRPr="00A849D9">
              <w:rPr>
                <w:rFonts w:ascii="Arial" w:hAnsi="Arial" w:cs="Arial"/>
                <w:i/>
              </w:rPr>
              <w:t>Lancaster:</w:t>
            </w:r>
          </w:p>
          <w:p w:rsidR="00501A94" w:rsidRDefault="00DE0210" w:rsidP="00177B99">
            <w:pPr>
              <w:spacing w:before="120" w:after="120"/>
              <w:rPr>
                <w:rFonts w:ascii="Arial" w:hAnsi="Arial" w:cs="Arial"/>
              </w:rPr>
            </w:pPr>
            <w:r>
              <w:rPr>
                <w:rFonts w:ascii="Arial" w:hAnsi="Arial" w:cs="Arial"/>
              </w:rPr>
              <w:t>01524 582000</w:t>
            </w:r>
          </w:p>
          <w:p w:rsidR="00177B99" w:rsidRPr="00A849D9" w:rsidRDefault="00DE0210" w:rsidP="00177B99">
            <w:pPr>
              <w:spacing w:before="120" w:after="120"/>
              <w:rPr>
                <w:rFonts w:ascii="Arial" w:hAnsi="Arial" w:cs="Arial"/>
                <w:i/>
              </w:rPr>
            </w:pPr>
            <w:r w:rsidRPr="00A849D9">
              <w:rPr>
                <w:rFonts w:ascii="Arial" w:hAnsi="Arial" w:cs="Arial"/>
                <w:i/>
              </w:rPr>
              <w:t>Wyre:</w:t>
            </w:r>
          </w:p>
          <w:p w:rsidR="00501A94" w:rsidRPr="00C14947" w:rsidRDefault="00DE0210" w:rsidP="00177B99">
            <w:pPr>
              <w:spacing w:before="120" w:after="120"/>
              <w:rPr>
                <w:rFonts w:ascii="Arial" w:hAnsi="Arial" w:cs="Arial"/>
              </w:rPr>
            </w:pPr>
            <w:r>
              <w:rPr>
                <w:rFonts w:ascii="Arial" w:hAnsi="Arial" w:cs="Arial"/>
              </w:rPr>
              <w:t>01253 891000</w:t>
            </w:r>
          </w:p>
        </w:tc>
        <w:tc>
          <w:tcPr>
            <w:tcW w:w="2835" w:type="dxa"/>
          </w:tcPr>
          <w:p w:rsidR="00177B99" w:rsidRPr="00A849D9" w:rsidRDefault="00DE0210" w:rsidP="00177B99">
            <w:pPr>
              <w:spacing w:before="120" w:after="120"/>
              <w:rPr>
                <w:rFonts w:ascii="Arial" w:hAnsi="Arial" w:cs="Arial"/>
                <w:i/>
              </w:rPr>
            </w:pPr>
            <w:r w:rsidRPr="00A849D9">
              <w:rPr>
                <w:rFonts w:ascii="Arial" w:hAnsi="Arial" w:cs="Arial"/>
                <w:i/>
              </w:rPr>
              <w:t>Chorley:</w:t>
            </w:r>
          </w:p>
          <w:p w:rsidR="00501A94" w:rsidRDefault="00DE0210" w:rsidP="00177B99">
            <w:pPr>
              <w:spacing w:before="120" w:after="120"/>
              <w:rPr>
                <w:rFonts w:ascii="Arial" w:hAnsi="Arial" w:cs="Arial"/>
              </w:rPr>
            </w:pPr>
            <w:r>
              <w:rPr>
                <w:rFonts w:ascii="Arial" w:hAnsi="Arial" w:cs="Arial"/>
              </w:rPr>
              <w:t>01257 515151</w:t>
            </w:r>
          </w:p>
          <w:p w:rsidR="00177B99" w:rsidRPr="00A849D9" w:rsidRDefault="00DE0210" w:rsidP="00177B99">
            <w:pPr>
              <w:spacing w:before="120" w:after="120"/>
              <w:rPr>
                <w:rFonts w:ascii="Arial" w:hAnsi="Arial" w:cs="Arial"/>
                <w:i/>
              </w:rPr>
            </w:pPr>
            <w:r w:rsidRPr="00A849D9">
              <w:rPr>
                <w:rFonts w:ascii="Arial" w:hAnsi="Arial" w:cs="Arial"/>
                <w:i/>
              </w:rPr>
              <w:t>Preston:</w:t>
            </w:r>
          </w:p>
          <w:p w:rsidR="00501A94" w:rsidRDefault="00DE0210" w:rsidP="00177B99">
            <w:pPr>
              <w:spacing w:before="120" w:after="120"/>
              <w:rPr>
                <w:rFonts w:ascii="Arial" w:hAnsi="Arial" w:cs="Arial"/>
              </w:rPr>
            </w:pPr>
            <w:r>
              <w:rPr>
                <w:rFonts w:ascii="Arial" w:hAnsi="Arial" w:cs="Arial"/>
              </w:rPr>
              <w:t>01772 906900</w:t>
            </w:r>
          </w:p>
          <w:p w:rsidR="00390642" w:rsidRPr="00A849D9" w:rsidRDefault="00DE0210" w:rsidP="00390642">
            <w:pPr>
              <w:spacing w:before="120" w:after="120"/>
              <w:rPr>
                <w:rFonts w:ascii="Arial" w:hAnsi="Arial" w:cs="Arial"/>
                <w:i/>
              </w:rPr>
            </w:pPr>
            <w:r w:rsidRPr="00A849D9">
              <w:rPr>
                <w:rFonts w:ascii="Arial" w:hAnsi="Arial" w:cs="Arial"/>
                <w:i/>
              </w:rPr>
              <w:t xml:space="preserve">South </w:t>
            </w:r>
            <w:proofErr w:type="spellStart"/>
            <w:r w:rsidRPr="00A849D9">
              <w:rPr>
                <w:rFonts w:ascii="Arial" w:hAnsi="Arial" w:cs="Arial"/>
                <w:i/>
              </w:rPr>
              <w:t>Ribble</w:t>
            </w:r>
            <w:proofErr w:type="spellEnd"/>
            <w:r w:rsidRPr="00A849D9">
              <w:rPr>
                <w:rFonts w:ascii="Arial" w:hAnsi="Arial" w:cs="Arial"/>
                <w:i/>
              </w:rPr>
              <w:t>:</w:t>
            </w:r>
          </w:p>
          <w:p w:rsidR="00390642" w:rsidRDefault="00DE0210" w:rsidP="00390642">
            <w:pPr>
              <w:spacing w:before="120" w:after="120"/>
              <w:rPr>
                <w:rFonts w:ascii="Arial" w:hAnsi="Arial" w:cs="Arial"/>
              </w:rPr>
            </w:pPr>
            <w:r>
              <w:rPr>
                <w:rFonts w:ascii="Arial" w:hAnsi="Arial" w:cs="Arial"/>
              </w:rPr>
              <w:t>01772 421491</w:t>
            </w:r>
          </w:p>
          <w:p w:rsidR="00177B99" w:rsidRPr="00A849D9" w:rsidRDefault="00DE0210" w:rsidP="00177B99">
            <w:pPr>
              <w:spacing w:before="120" w:after="120"/>
              <w:rPr>
                <w:rFonts w:ascii="Arial" w:hAnsi="Arial" w:cs="Arial"/>
                <w:i/>
              </w:rPr>
            </w:pPr>
            <w:r w:rsidRPr="00A849D9">
              <w:rPr>
                <w:rFonts w:ascii="Arial" w:hAnsi="Arial" w:cs="Arial"/>
                <w:i/>
              </w:rPr>
              <w:t>West Lancashire:</w:t>
            </w:r>
          </w:p>
          <w:p w:rsidR="00501A94" w:rsidRPr="00C14947" w:rsidRDefault="00DE0210" w:rsidP="00177B99">
            <w:pPr>
              <w:spacing w:before="120" w:after="120"/>
              <w:rPr>
                <w:rFonts w:ascii="Arial" w:hAnsi="Arial" w:cs="Arial"/>
              </w:rPr>
            </w:pPr>
            <w:r>
              <w:rPr>
                <w:rFonts w:ascii="Arial" w:hAnsi="Arial" w:cs="Arial"/>
              </w:rPr>
              <w:t>01695 577177</w:t>
            </w:r>
          </w:p>
        </w:tc>
        <w:tc>
          <w:tcPr>
            <w:tcW w:w="2835" w:type="dxa"/>
          </w:tcPr>
          <w:p w:rsidR="00177B99" w:rsidRPr="00A849D9" w:rsidRDefault="00DE0210" w:rsidP="00177B99">
            <w:pPr>
              <w:spacing w:before="120" w:after="120"/>
              <w:rPr>
                <w:rFonts w:ascii="Arial" w:hAnsi="Arial" w:cs="Arial"/>
                <w:i/>
              </w:rPr>
            </w:pPr>
            <w:r w:rsidRPr="00A849D9">
              <w:rPr>
                <w:rFonts w:ascii="Arial" w:hAnsi="Arial" w:cs="Arial"/>
                <w:i/>
              </w:rPr>
              <w:t>Burnley</w:t>
            </w:r>
            <w:r>
              <w:rPr>
                <w:rFonts w:ascii="Arial" w:hAnsi="Arial" w:cs="Arial"/>
                <w:i/>
              </w:rPr>
              <w:t>:</w:t>
            </w:r>
          </w:p>
          <w:p w:rsidR="00501A94" w:rsidRDefault="00DE0210" w:rsidP="00177B99">
            <w:pPr>
              <w:spacing w:before="120" w:after="120"/>
              <w:rPr>
                <w:rFonts w:ascii="Arial" w:hAnsi="Arial" w:cs="Arial"/>
              </w:rPr>
            </w:pPr>
            <w:r>
              <w:rPr>
                <w:rFonts w:ascii="Arial" w:hAnsi="Arial" w:cs="Arial"/>
              </w:rPr>
              <w:t>01282 425011</w:t>
            </w:r>
          </w:p>
          <w:p w:rsidR="00177B99" w:rsidRPr="00A849D9" w:rsidRDefault="00DE0210" w:rsidP="00177B99">
            <w:pPr>
              <w:spacing w:before="120" w:after="120"/>
              <w:rPr>
                <w:rFonts w:ascii="Arial" w:hAnsi="Arial" w:cs="Arial"/>
                <w:i/>
              </w:rPr>
            </w:pPr>
            <w:r w:rsidRPr="00A849D9">
              <w:rPr>
                <w:rFonts w:ascii="Arial" w:hAnsi="Arial" w:cs="Arial"/>
                <w:i/>
              </w:rPr>
              <w:t>Hyndburn</w:t>
            </w:r>
            <w:r>
              <w:rPr>
                <w:rFonts w:ascii="Arial" w:hAnsi="Arial" w:cs="Arial"/>
                <w:i/>
              </w:rPr>
              <w:t>:</w:t>
            </w:r>
          </w:p>
          <w:p w:rsidR="00501A94" w:rsidRDefault="00DE0210" w:rsidP="00177B99">
            <w:pPr>
              <w:spacing w:before="120" w:after="120"/>
              <w:rPr>
                <w:rFonts w:ascii="Arial" w:hAnsi="Arial" w:cs="Arial"/>
              </w:rPr>
            </w:pPr>
            <w:r>
              <w:rPr>
                <w:rFonts w:ascii="Arial" w:hAnsi="Arial" w:cs="Arial"/>
              </w:rPr>
              <w:t>01254 388111</w:t>
            </w:r>
          </w:p>
          <w:p w:rsidR="00177B99" w:rsidRPr="00A849D9" w:rsidRDefault="00DE0210" w:rsidP="00177B99">
            <w:pPr>
              <w:spacing w:before="120" w:after="120"/>
              <w:rPr>
                <w:rFonts w:ascii="Arial" w:hAnsi="Arial" w:cs="Arial"/>
                <w:i/>
              </w:rPr>
            </w:pPr>
            <w:r w:rsidRPr="00A849D9">
              <w:rPr>
                <w:rFonts w:ascii="Arial" w:hAnsi="Arial" w:cs="Arial"/>
                <w:i/>
              </w:rPr>
              <w:t>Pendle</w:t>
            </w:r>
            <w:r>
              <w:rPr>
                <w:rFonts w:ascii="Arial" w:hAnsi="Arial" w:cs="Arial"/>
                <w:i/>
              </w:rPr>
              <w:t>:</w:t>
            </w:r>
          </w:p>
          <w:p w:rsidR="00501A94" w:rsidRDefault="00DE0210" w:rsidP="00177B99">
            <w:pPr>
              <w:spacing w:before="120" w:after="120"/>
              <w:rPr>
                <w:rFonts w:ascii="Arial" w:hAnsi="Arial" w:cs="Arial"/>
              </w:rPr>
            </w:pPr>
            <w:r>
              <w:rPr>
                <w:rFonts w:ascii="Arial" w:hAnsi="Arial" w:cs="Arial"/>
              </w:rPr>
              <w:t>01282 661661</w:t>
            </w:r>
          </w:p>
          <w:p w:rsidR="00177B99" w:rsidRPr="00A849D9" w:rsidRDefault="00DE0210" w:rsidP="00177B99">
            <w:pPr>
              <w:spacing w:before="120" w:after="120"/>
              <w:rPr>
                <w:rFonts w:ascii="Arial" w:hAnsi="Arial" w:cs="Arial"/>
                <w:i/>
              </w:rPr>
            </w:pPr>
            <w:proofErr w:type="spellStart"/>
            <w:r w:rsidRPr="00A849D9">
              <w:rPr>
                <w:rFonts w:ascii="Arial" w:hAnsi="Arial" w:cs="Arial"/>
                <w:i/>
              </w:rPr>
              <w:t>Ribble</w:t>
            </w:r>
            <w:proofErr w:type="spellEnd"/>
            <w:r w:rsidRPr="00A849D9">
              <w:rPr>
                <w:rFonts w:ascii="Arial" w:hAnsi="Arial" w:cs="Arial"/>
                <w:i/>
              </w:rPr>
              <w:t xml:space="preserve"> Valley</w:t>
            </w:r>
            <w:r>
              <w:rPr>
                <w:rFonts w:ascii="Arial" w:hAnsi="Arial" w:cs="Arial"/>
                <w:i/>
              </w:rPr>
              <w:t>:</w:t>
            </w:r>
          </w:p>
          <w:p w:rsidR="00501A94" w:rsidRDefault="00DE0210" w:rsidP="00177B99">
            <w:pPr>
              <w:spacing w:before="120" w:after="120"/>
              <w:rPr>
                <w:rFonts w:ascii="Arial" w:hAnsi="Arial" w:cs="Arial"/>
              </w:rPr>
            </w:pPr>
            <w:r>
              <w:rPr>
                <w:rFonts w:ascii="Arial" w:hAnsi="Arial" w:cs="Arial"/>
              </w:rPr>
              <w:t>01200 425111</w:t>
            </w:r>
          </w:p>
          <w:p w:rsidR="00177B99" w:rsidRPr="00A849D9" w:rsidRDefault="00DE0210" w:rsidP="00177B99">
            <w:pPr>
              <w:spacing w:before="120" w:after="120"/>
              <w:rPr>
                <w:rFonts w:ascii="Arial" w:hAnsi="Arial" w:cs="Arial"/>
                <w:i/>
              </w:rPr>
            </w:pPr>
            <w:r w:rsidRPr="00A849D9">
              <w:rPr>
                <w:rFonts w:ascii="Arial" w:hAnsi="Arial" w:cs="Arial"/>
                <w:i/>
              </w:rPr>
              <w:t>Rossendale</w:t>
            </w:r>
            <w:r>
              <w:rPr>
                <w:rFonts w:ascii="Arial" w:hAnsi="Arial" w:cs="Arial"/>
                <w:i/>
              </w:rPr>
              <w:t>:</w:t>
            </w:r>
          </w:p>
          <w:p w:rsidR="00501A94" w:rsidRPr="00C14947" w:rsidRDefault="00DE0210" w:rsidP="00177B99">
            <w:pPr>
              <w:spacing w:before="120" w:after="120"/>
              <w:rPr>
                <w:rFonts w:ascii="Arial" w:hAnsi="Arial" w:cs="Arial"/>
              </w:rPr>
            </w:pPr>
            <w:r>
              <w:rPr>
                <w:rFonts w:ascii="Arial" w:hAnsi="Arial" w:cs="Arial"/>
              </w:rPr>
              <w:t>01706 217777</w:t>
            </w:r>
          </w:p>
        </w:tc>
      </w:tr>
      <w:tr w:rsidR="00CA297B" w:rsidTr="00177B99">
        <w:trPr>
          <w:trHeight w:val="419"/>
        </w:trPr>
        <w:tc>
          <w:tcPr>
            <w:tcW w:w="1985" w:type="dxa"/>
          </w:tcPr>
          <w:p w:rsidR="00177B99" w:rsidRPr="00501A94" w:rsidRDefault="00DE0210" w:rsidP="00177B99">
            <w:pPr>
              <w:spacing w:before="120" w:after="120"/>
              <w:rPr>
                <w:rFonts w:ascii="Arial" w:hAnsi="Arial" w:cs="Arial"/>
                <w:b/>
              </w:rPr>
            </w:pPr>
            <w:r w:rsidRPr="00501A94">
              <w:rPr>
                <w:rFonts w:ascii="Arial" w:hAnsi="Arial" w:cs="Arial"/>
                <w:b/>
              </w:rPr>
              <w:t>Lancashire County Council</w:t>
            </w:r>
          </w:p>
        </w:tc>
        <w:tc>
          <w:tcPr>
            <w:tcW w:w="8505" w:type="dxa"/>
            <w:gridSpan w:val="3"/>
            <w:vAlign w:val="center"/>
          </w:tcPr>
          <w:p w:rsidR="00177B99" w:rsidRPr="00C14947" w:rsidRDefault="00DE0210" w:rsidP="00177B99">
            <w:pPr>
              <w:spacing w:before="120" w:after="120"/>
              <w:jc w:val="center"/>
              <w:rPr>
                <w:rFonts w:ascii="Arial" w:hAnsi="Arial" w:cs="Arial"/>
              </w:rPr>
            </w:pPr>
            <w:r w:rsidRPr="00C14947">
              <w:rPr>
                <w:rFonts w:ascii="Arial" w:hAnsi="Arial" w:cs="Arial"/>
              </w:rPr>
              <w:t>0300 123 6720</w:t>
            </w:r>
          </w:p>
        </w:tc>
      </w:tr>
    </w:tbl>
    <w:p w:rsidR="007A7726" w:rsidRDefault="00DE0210" w:rsidP="007A7726"/>
    <w:sectPr w:rsidR="007A7726" w:rsidSect="00263CFE">
      <w:footerReference w:type="defaul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0210">
      <w:pPr>
        <w:spacing w:after="0" w:line="240" w:lineRule="auto"/>
      </w:pPr>
      <w:r>
        <w:separator/>
      </w:r>
    </w:p>
  </w:endnote>
  <w:endnote w:type="continuationSeparator" w:id="0">
    <w:p w:rsidR="00000000" w:rsidRDefault="00DE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898901"/>
      <w:docPartObj>
        <w:docPartGallery w:val="Page Numbers (Bottom of Page)"/>
        <w:docPartUnique/>
      </w:docPartObj>
    </w:sdtPr>
    <w:sdtEndPr>
      <w:rPr>
        <w:noProof/>
      </w:rPr>
    </w:sdtEndPr>
    <w:sdtContent>
      <w:p w:rsidR="00390642" w:rsidRDefault="00DE02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0642" w:rsidRDefault="00DE0210" w:rsidP="004D4817">
    <w:pPr>
      <w:pStyle w:val="Footer"/>
    </w:pPr>
    <w:r>
      <w:t>Yvette McGurn PSW Updated December2018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42" w:rsidRDefault="00DE0210" w:rsidP="00263CFE">
    <w:pPr>
      <w:pStyle w:val="Footer"/>
      <w:jc w:val="right"/>
    </w:pPr>
  </w:p>
  <w:p w:rsidR="00390642" w:rsidRDefault="00DE0210" w:rsidP="00263CFE">
    <w:pPr>
      <w:pStyle w:val="Footer"/>
    </w:pPr>
    <w:r>
      <w:t>Yvette McGurn PSW Updated December2018</w:t>
    </w:r>
  </w:p>
  <w:p w:rsidR="00390642" w:rsidRPr="00263CFE" w:rsidRDefault="00DE0210" w:rsidP="0026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0210">
      <w:pPr>
        <w:spacing w:after="0" w:line="240" w:lineRule="auto"/>
      </w:pPr>
      <w:r>
        <w:separator/>
      </w:r>
    </w:p>
  </w:footnote>
  <w:footnote w:type="continuationSeparator" w:id="0">
    <w:p w:rsidR="00000000" w:rsidRDefault="00DE0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4054"/>
    <w:multiLevelType w:val="hybridMultilevel"/>
    <w:tmpl w:val="317CE562"/>
    <w:lvl w:ilvl="0" w:tplc="5E4014CA">
      <w:start w:val="1"/>
      <w:numFmt w:val="bullet"/>
      <w:lvlText w:val=""/>
      <w:lvlJc w:val="left"/>
      <w:pPr>
        <w:ind w:left="720" w:hanging="360"/>
      </w:pPr>
      <w:rPr>
        <w:rFonts w:ascii="Symbol" w:hAnsi="Symbol" w:hint="default"/>
      </w:rPr>
    </w:lvl>
    <w:lvl w:ilvl="1" w:tplc="E23819D2" w:tentative="1">
      <w:start w:val="1"/>
      <w:numFmt w:val="bullet"/>
      <w:lvlText w:val="o"/>
      <w:lvlJc w:val="left"/>
      <w:pPr>
        <w:ind w:left="1440" w:hanging="360"/>
      </w:pPr>
      <w:rPr>
        <w:rFonts w:ascii="Courier New" w:hAnsi="Courier New" w:cs="Courier New" w:hint="default"/>
      </w:rPr>
    </w:lvl>
    <w:lvl w:ilvl="2" w:tplc="0AE69B8C" w:tentative="1">
      <w:start w:val="1"/>
      <w:numFmt w:val="bullet"/>
      <w:lvlText w:val=""/>
      <w:lvlJc w:val="left"/>
      <w:pPr>
        <w:ind w:left="2160" w:hanging="360"/>
      </w:pPr>
      <w:rPr>
        <w:rFonts w:ascii="Wingdings" w:hAnsi="Wingdings" w:hint="default"/>
      </w:rPr>
    </w:lvl>
    <w:lvl w:ilvl="3" w:tplc="C2BC491E" w:tentative="1">
      <w:start w:val="1"/>
      <w:numFmt w:val="bullet"/>
      <w:lvlText w:val=""/>
      <w:lvlJc w:val="left"/>
      <w:pPr>
        <w:ind w:left="2880" w:hanging="360"/>
      </w:pPr>
      <w:rPr>
        <w:rFonts w:ascii="Symbol" w:hAnsi="Symbol" w:hint="default"/>
      </w:rPr>
    </w:lvl>
    <w:lvl w:ilvl="4" w:tplc="7A126856" w:tentative="1">
      <w:start w:val="1"/>
      <w:numFmt w:val="bullet"/>
      <w:lvlText w:val="o"/>
      <w:lvlJc w:val="left"/>
      <w:pPr>
        <w:ind w:left="3600" w:hanging="360"/>
      </w:pPr>
      <w:rPr>
        <w:rFonts w:ascii="Courier New" w:hAnsi="Courier New" w:cs="Courier New" w:hint="default"/>
      </w:rPr>
    </w:lvl>
    <w:lvl w:ilvl="5" w:tplc="3D32F630" w:tentative="1">
      <w:start w:val="1"/>
      <w:numFmt w:val="bullet"/>
      <w:lvlText w:val=""/>
      <w:lvlJc w:val="left"/>
      <w:pPr>
        <w:ind w:left="4320" w:hanging="360"/>
      </w:pPr>
      <w:rPr>
        <w:rFonts w:ascii="Wingdings" w:hAnsi="Wingdings" w:hint="default"/>
      </w:rPr>
    </w:lvl>
    <w:lvl w:ilvl="6" w:tplc="4DBA34F6" w:tentative="1">
      <w:start w:val="1"/>
      <w:numFmt w:val="bullet"/>
      <w:lvlText w:val=""/>
      <w:lvlJc w:val="left"/>
      <w:pPr>
        <w:ind w:left="5040" w:hanging="360"/>
      </w:pPr>
      <w:rPr>
        <w:rFonts w:ascii="Symbol" w:hAnsi="Symbol" w:hint="default"/>
      </w:rPr>
    </w:lvl>
    <w:lvl w:ilvl="7" w:tplc="53A2EBCA" w:tentative="1">
      <w:start w:val="1"/>
      <w:numFmt w:val="bullet"/>
      <w:lvlText w:val="o"/>
      <w:lvlJc w:val="left"/>
      <w:pPr>
        <w:ind w:left="5760" w:hanging="360"/>
      </w:pPr>
      <w:rPr>
        <w:rFonts w:ascii="Courier New" w:hAnsi="Courier New" w:cs="Courier New" w:hint="default"/>
      </w:rPr>
    </w:lvl>
    <w:lvl w:ilvl="8" w:tplc="51C8CDCA" w:tentative="1">
      <w:start w:val="1"/>
      <w:numFmt w:val="bullet"/>
      <w:lvlText w:val=""/>
      <w:lvlJc w:val="left"/>
      <w:pPr>
        <w:ind w:left="6480" w:hanging="360"/>
      </w:pPr>
      <w:rPr>
        <w:rFonts w:ascii="Wingdings" w:hAnsi="Wingdings" w:hint="default"/>
      </w:rPr>
    </w:lvl>
  </w:abstractNum>
  <w:abstractNum w:abstractNumId="1" w15:restartNumberingAfterBreak="0">
    <w:nsid w:val="234C5CCC"/>
    <w:multiLevelType w:val="hybridMultilevel"/>
    <w:tmpl w:val="76E00BB0"/>
    <w:lvl w:ilvl="0" w:tplc="48206782">
      <w:start w:val="1"/>
      <w:numFmt w:val="bullet"/>
      <w:lvlText w:val=""/>
      <w:lvlJc w:val="left"/>
      <w:pPr>
        <w:ind w:left="720" w:hanging="360"/>
      </w:pPr>
      <w:rPr>
        <w:rFonts w:ascii="Symbol" w:hAnsi="Symbol" w:hint="default"/>
      </w:rPr>
    </w:lvl>
    <w:lvl w:ilvl="1" w:tplc="480C73FA" w:tentative="1">
      <w:start w:val="1"/>
      <w:numFmt w:val="bullet"/>
      <w:lvlText w:val="o"/>
      <w:lvlJc w:val="left"/>
      <w:pPr>
        <w:ind w:left="1440" w:hanging="360"/>
      </w:pPr>
      <w:rPr>
        <w:rFonts w:ascii="Courier New" w:hAnsi="Courier New" w:cs="Courier New" w:hint="default"/>
      </w:rPr>
    </w:lvl>
    <w:lvl w:ilvl="2" w:tplc="E068B676" w:tentative="1">
      <w:start w:val="1"/>
      <w:numFmt w:val="bullet"/>
      <w:lvlText w:val=""/>
      <w:lvlJc w:val="left"/>
      <w:pPr>
        <w:ind w:left="2160" w:hanging="360"/>
      </w:pPr>
      <w:rPr>
        <w:rFonts w:ascii="Wingdings" w:hAnsi="Wingdings" w:hint="default"/>
      </w:rPr>
    </w:lvl>
    <w:lvl w:ilvl="3" w:tplc="5EFC5FF4" w:tentative="1">
      <w:start w:val="1"/>
      <w:numFmt w:val="bullet"/>
      <w:lvlText w:val=""/>
      <w:lvlJc w:val="left"/>
      <w:pPr>
        <w:ind w:left="2880" w:hanging="360"/>
      </w:pPr>
      <w:rPr>
        <w:rFonts w:ascii="Symbol" w:hAnsi="Symbol" w:hint="default"/>
      </w:rPr>
    </w:lvl>
    <w:lvl w:ilvl="4" w:tplc="8E46BECE" w:tentative="1">
      <w:start w:val="1"/>
      <w:numFmt w:val="bullet"/>
      <w:lvlText w:val="o"/>
      <w:lvlJc w:val="left"/>
      <w:pPr>
        <w:ind w:left="3600" w:hanging="360"/>
      </w:pPr>
      <w:rPr>
        <w:rFonts w:ascii="Courier New" w:hAnsi="Courier New" w:cs="Courier New" w:hint="default"/>
      </w:rPr>
    </w:lvl>
    <w:lvl w:ilvl="5" w:tplc="57D4F25A" w:tentative="1">
      <w:start w:val="1"/>
      <w:numFmt w:val="bullet"/>
      <w:lvlText w:val=""/>
      <w:lvlJc w:val="left"/>
      <w:pPr>
        <w:ind w:left="4320" w:hanging="360"/>
      </w:pPr>
      <w:rPr>
        <w:rFonts w:ascii="Wingdings" w:hAnsi="Wingdings" w:hint="default"/>
      </w:rPr>
    </w:lvl>
    <w:lvl w:ilvl="6" w:tplc="F384A010" w:tentative="1">
      <w:start w:val="1"/>
      <w:numFmt w:val="bullet"/>
      <w:lvlText w:val=""/>
      <w:lvlJc w:val="left"/>
      <w:pPr>
        <w:ind w:left="5040" w:hanging="360"/>
      </w:pPr>
      <w:rPr>
        <w:rFonts w:ascii="Symbol" w:hAnsi="Symbol" w:hint="default"/>
      </w:rPr>
    </w:lvl>
    <w:lvl w:ilvl="7" w:tplc="F6D02C80" w:tentative="1">
      <w:start w:val="1"/>
      <w:numFmt w:val="bullet"/>
      <w:lvlText w:val="o"/>
      <w:lvlJc w:val="left"/>
      <w:pPr>
        <w:ind w:left="5760" w:hanging="360"/>
      </w:pPr>
      <w:rPr>
        <w:rFonts w:ascii="Courier New" w:hAnsi="Courier New" w:cs="Courier New" w:hint="default"/>
      </w:rPr>
    </w:lvl>
    <w:lvl w:ilvl="8" w:tplc="91609684" w:tentative="1">
      <w:start w:val="1"/>
      <w:numFmt w:val="bullet"/>
      <w:lvlText w:val=""/>
      <w:lvlJc w:val="left"/>
      <w:pPr>
        <w:ind w:left="6480" w:hanging="360"/>
      </w:pPr>
      <w:rPr>
        <w:rFonts w:ascii="Wingdings" w:hAnsi="Wingdings" w:hint="default"/>
      </w:rPr>
    </w:lvl>
  </w:abstractNum>
  <w:abstractNum w:abstractNumId="2" w15:restartNumberingAfterBreak="0">
    <w:nsid w:val="34F97157"/>
    <w:multiLevelType w:val="hybridMultilevel"/>
    <w:tmpl w:val="AE4AD5E4"/>
    <w:lvl w:ilvl="0" w:tplc="F34C5C64">
      <w:start w:val="1"/>
      <w:numFmt w:val="decimal"/>
      <w:lvlText w:val="%1."/>
      <w:lvlJc w:val="left"/>
      <w:pPr>
        <w:ind w:left="720" w:hanging="360"/>
      </w:pPr>
      <w:rPr>
        <w:rFonts w:hint="default"/>
      </w:rPr>
    </w:lvl>
    <w:lvl w:ilvl="1" w:tplc="D4FA396E" w:tentative="1">
      <w:start w:val="1"/>
      <w:numFmt w:val="bullet"/>
      <w:lvlText w:val="o"/>
      <w:lvlJc w:val="left"/>
      <w:pPr>
        <w:ind w:left="1440" w:hanging="360"/>
      </w:pPr>
      <w:rPr>
        <w:rFonts w:ascii="Courier New" w:hAnsi="Courier New" w:cs="Courier New" w:hint="default"/>
      </w:rPr>
    </w:lvl>
    <w:lvl w:ilvl="2" w:tplc="BEB83E2A" w:tentative="1">
      <w:start w:val="1"/>
      <w:numFmt w:val="bullet"/>
      <w:lvlText w:val=""/>
      <w:lvlJc w:val="left"/>
      <w:pPr>
        <w:ind w:left="2160" w:hanging="360"/>
      </w:pPr>
      <w:rPr>
        <w:rFonts w:ascii="Wingdings" w:hAnsi="Wingdings" w:hint="default"/>
      </w:rPr>
    </w:lvl>
    <w:lvl w:ilvl="3" w:tplc="3C8E9812" w:tentative="1">
      <w:start w:val="1"/>
      <w:numFmt w:val="bullet"/>
      <w:lvlText w:val=""/>
      <w:lvlJc w:val="left"/>
      <w:pPr>
        <w:ind w:left="2880" w:hanging="360"/>
      </w:pPr>
      <w:rPr>
        <w:rFonts w:ascii="Symbol" w:hAnsi="Symbol" w:hint="default"/>
      </w:rPr>
    </w:lvl>
    <w:lvl w:ilvl="4" w:tplc="975AC024" w:tentative="1">
      <w:start w:val="1"/>
      <w:numFmt w:val="bullet"/>
      <w:lvlText w:val="o"/>
      <w:lvlJc w:val="left"/>
      <w:pPr>
        <w:ind w:left="3600" w:hanging="360"/>
      </w:pPr>
      <w:rPr>
        <w:rFonts w:ascii="Courier New" w:hAnsi="Courier New" w:cs="Courier New" w:hint="default"/>
      </w:rPr>
    </w:lvl>
    <w:lvl w:ilvl="5" w:tplc="E0001774" w:tentative="1">
      <w:start w:val="1"/>
      <w:numFmt w:val="bullet"/>
      <w:lvlText w:val=""/>
      <w:lvlJc w:val="left"/>
      <w:pPr>
        <w:ind w:left="4320" w:hanging="360"/>
      </w:pPr>
      <w:rPr>
        <w:rFonts w:ascii="Wingdings" w:hAnsi="Wingdings" w:hint="default"/>
      </w:rPr>
    </w:lvl>
    <w:lvl w:ilvl="6" w:tplc="1DF22754" w:tentative="1">
      <w:start w:val="1"/>
      <w:numFmt w:val="bullet"/>
      <w:lvlText w:val=""/>
      <w:lvlJc w:val="left"/>
      <w:pPr>
        <w:ind w:left="5040" w:hanging="360"/>
      </w:pPr>
      <w:rPr>
        <w:rFonts w:ascii="Symbol" w:hAnsi="Symbol" w:hint="default"/>
      </w:rPr>
    </w:lvl>
    <w:lvl w:ilvl="7" w:tplc="1E66AD34" w:tentative="1">
      <w:start w:val="1"/>
      <w:numFmt w:val="bullet"/>
      <w:lvlText w:val="o"/>
      <w:lvlJc w:val="left"/>
      <w:pPr>
        <w:ind w:left="5760" w:hanging="360"/>
      </w:pPr>
      <w:rPr>
        <w:rFonts w:ascii="Courier New" w:hAnsi="Courier New" w:cs="Courier New" w:hint="default"/>
      </w:rPr>
    </w:lvl>
    <w:lvl w:ilvl="8" w:tplc="1F24F574" w:tentative="1">
      <w:start w:val="1"/>
      <w:numFmt w:val="bullet"/>
      <w:lvlText w:val=""/>
      <w:lvlJc w:val="left"/>
      <w:pPr>
        <w:ind w:left="6480" w:hanging="360"/>
      </w:pPr>
      <w:rPr>
        <w:rFonts w:ascii="Wingdings" w:hAnsi="Wingdings" w:hint="default"/>
      </w:rPr>
    </w:lvl>
  </w:abstractNum>
  <w:abstractNum w:abstractNumId="3" w15:restartNumberingAfterBreak="0">
    <w:nsid w:val="4A5A15A6"/>
    <w:multiLevelType w:val="hybridMultilevel"/>
    <w:tmpl w:val="0DF83B7E"/>
    <w:lvl w:ilvl="0" w:tplc="AFC82CD6">
      <w:start w:val="1"/>
      <w:numFmt w:val="lowerLetter"/>
      <w:lvlText w:val="%1)"/>
      <w:lvlJc w:val="left"/>
      <w:pPr>
        <w:ind w:left="720" w:hanging="360"/>
      </w:pPr>
      <w:rPr>
        <w:rFonts w:hint="default"/>
      </w:rPr>
    </w:lvl>
    <w:lvl w:ilvl="1" w:tplc="6D92E47C" w:tentative="1">
      <w:start w:val="1"/>
      <w:numFmt w:val="lowerLetter"/>
      <w:lvlText w:val="%2."/>
      <w:lvlJc w:val="left"/>
      <w:pPr>
        <w:ind w:left="1440" w:hanging="360"/>
      </w:pPr>
    </w:lvl>
    <w:lvl w:ilvl="2" w:tplc="ED58C6CE" w:tentative="1">
      <w:start w:val="1"/>
      <w:numFmt w:val="lowerRoman"/>
      <w:lvlText w:val="%3."/>
      <w:lvlJc w:val="right"/>
      <w:pPr>
        <w:ind w:left="2160" w:hanging="180"/>
      </w:pPr>
    </w:lvl>
    <w:lvl w:ilvl="3" w:tplc="6D560914" w:tentative="1">
      <w:start w:val="1"/>
      <w:numFmt w:val="decimal"/>
      <w:lvlText w:val="%4."/>
      <w:lvlJc w:val="left"/>
      <w:pPr>
        <w:ind w:left="2880" w:hanging="360"/>
      </w:pPr>
    </w:lvl>
    <w:lvl w:ilvl="4" w:tplc="BA26DDDC" w:tentative="1">
      <w:start w:val="1"/>
      <w:numFmt w:val="lowerLetter"/>
      <w:lvlText w:val="%5."/>
      <w:lvlJc w:val="left"/>
      <w:pPr>
        <w:ind w:left="3600" w:hanging="360"/>
      </w:pPr>
    </w:lvl>
    <w:lvl w:ilvl="5" w:tplc="F0E2ACB8" w:tentative="1">
      <w:start w:val="1"/>
      <w:numFmt w:val="lowerRoman"/>
      <w:lvlText w:val="%6."/>
      <w:lvlJc w:val="right"/>
      <w:pPr>
        <w:ind w:left="4320" w:hanging="180"/>
      </w:pPr>
    </w:lvl>
    <w:lvl w:ilvl="6" w:tplc="A002D878" w:tentative="1">
      <w:start w:val="1"/>
      <w:numFmt w:val="decimal"/>
      <w:lvlText w:val="%7."/>
      <w:lvlJc w:val="left"/>
      <w:pPr>
        <w:ind w:left="5040" w:hanging="360"/>
      </w:pPr>
    </w:lvl>
    <w:lvl w:ilvl="7" w:tplc="061E076E" w:tentative="1">
      <w:start w:val="1"/>
      <w:numFmt w:val="lowerLetter"/>
      <w:lvlText w:val="%8."/>
      <w:lvlJc w:val="left"/>
      <w:pPr>
        <w:ind w:left="5760" w:hanging="360"/>
      </w:pPr>
    </w:lvl>
    <w:lvl w:ilvl="8" w:tplc="8B3CEF5A" w:tentative="1">
      <w:start w:val="1"/>
      <w:numFmt w:val="lowerRoman"/>
      <w:lvlText w:val="%9."/>
      <w:lvlJc w:val="right"/>
      <w:pPr>
        <w:ind w:left="6480" w:hanging="180"/>
      </w:pPr>
    </w:lvl>
  </w:abstractNum>
  <w:abstractNum w:abstractNumId="4" w15:restartNumberingAfterBreak="0">
    <w:nsid w:val="4E166769"/>
    <w:multiLevelType w:val="hybridMultilevel"/>
    <w:tmpl w:val="80104FAE"/>
    <w:lvl w:ilvl="0" w:tplc="1E807122">
      <w:start w:val="1"/>
      <w:numFmt w:val="decimal"/>
      <w:lvlText w:val="%1."/>
      <w:lvlJc w:val="left"/>
      <w:pPr>
        <w:ind w:left="1080" w:hanging="360"/>
      </w:pPr>
      <w:rPr>
        <w:rFonts w:hint="default"/>
        <w:sz w:val="18"/>
      </w:rPr>
    </w:lvl>
    <w:lvl w:ilvl="1" w:tplc="B538CD54" w:tentative="1">
      <w:start w:val="1"/>
      <w:numFmt w:val="lowerLetter"/>
      <w:lvlText w:val="%2."/>
      <w:lvlJc w:val="left"/>
      <w:pPr>
        <w:ind w:left="1800" w:hanging="360"/>
      </w:pPr>
    </w:lvl>
    <w:lvl w:ilvl="2" w:tplc="B7E69886" w:tentative="1">
      <w:start w:val="1"/>
      <w:numFmt w:val="lowerRoman"/>
      <w:lvlText w:val="%3."/>
      <w:lvlJc w:val="right"/>
      <w:pPr>
        <w:ind w:left="2520" w:hanging="180"/>
      </w:pPr>
    </w:lvl>
    <w:lvl w:ilvl="3" w:tplc="D812BA2E" w:tentative="1">
      <w:start w:val="1"/>
      <w:numFmt w:val="decimal"/>
      <w:lvlText w:val="%4."/>
      <w:lvlJc w:val="left"/>
      <w:pPr>
        <w:ind w:left="3240" w:hanging="360"/>
      </w:pPr>
    </w:lvl>
    <w:lvl w:ilvl="4" w:tplc="2264DFB8" w:tentative="1">
      <w:start w:val="1"/>
      <w:numFmt w:val="lowerLetter"/>
      <w:lvlText w:val="%5."/>
      <w:lvlJc w:val="left"/>
      <w:pPr>
        <w:ind w:left="3960" w:hanging="360"/>
      </w:pPr>
    </w:lvl>
    <w:lvl w:ilvl="5" w:tplc="52F02678" w:tentative="1">
      <w:start w:val="1"/>
      <w:numFmt w:val="lowerRoman"/>
      <w:lvlText w:val="%6."/>
      <w:lvlJc w:val="right"/>
      <w:pPr>
        <w:ind w:left="4680" w:hanging="180"/>
      </w:pPr>
    </w:lvl>
    <w:lvl w:ilvl="6" w:tplc="52725F96" w:tentative="1">
      <w:start w:val="1"/>
      <w:numFmt w:val="decimal"/>
      <w:lvlText w:val="%7."/>
      <w:lvlJc w:val="left"/>
      <w:pPr>
        <w:ind w:left="5400" w:hanging="360"/>
      </w:pPr>
    </w:lvl>
    <w:lvl w:ilvl="7" w:tplc="998E7EAA" w:tentative="1">
      <w:start w:val="1"/>
      <w:numFmt w:val="lowerLetter"/>
      <w:lvlText w:val="%8."/>
      <w:lvlJc w:val="left"/>
      <w:pPr>
        <w:ind w:left="6120" w:hanging="360"/>
      </w:pPr>
    </w:lvl>
    <w:lvl w:ilvl="8" w:tplc="C9C66CCE" w:tentative="1">
      <w:start w:val="1"/>
      <w:numFmt w:val="lowerRoman"/>
      <w:lvlText w:val="%9."/>
      <w:lvlJc w:val="right"/>
      <w:pPr>
        <w:ind w:left="6840" w:hanging="180"/>
      </w:pPr>
    </w:lvl>
  </w:abstractNum>
  <w:abstractNum w:abstractNumId="5" w15:restartNumberingAfterBreak="0">
    <w:nsid w:val="50F87EE3"/>
    <w:multiLevelType w:val="hybridMultilevel"/>
    <w:tmpl w:val="1FAC8A36"/>
    <w:lvl w:ilvl="0" w:tplc="6C72E8FE">
      <w:start w:val="1"/>
      <w:numFmt w:val="lowerLetter"/>
      <w:lvlText w:val="%1)"/>
      <w:lvlJc w:val="left"/>
      <w:pPr>
        <w:ind w:left="720" w:hanging="360"/>
      </w:pPr>
      <w:rPr>
        <w:rFonts w:hint="default"/>
      </w:rPr>
    </w:lvl>
    <w:lvl w:ilvl="1" w:tplc="E6B6876C" w:tentative="1">
      <w:start w:val="1"/>
      <w:numFmt w:val="bullet"/>
      <w:lvlText w:val="o"/>
      <w:lvlJc w:val="left"/>
      <w:pPr>
        <w:ind w:left="1440" w:hanging="360"/>
      </w:pPr>
      <w:rPr>
        <w:rFonts w:ascii="Courier New" w:hAnsi="Courier New" w:cs="Courier New" w:hint="default"/>
      </w:rPr>
    </w:lvl>
    <w:lvl w:ilvl="2" w:tplc="B0F2D23E" w:tentative="1">
      <w:start w:val="1"/>
      <w:numFmt w:val="bullet"/>
      <w:lvlText w:val=""/>
      <w:lvlJc w:val="left"/>
      <w:pPr>
        <w:ind w:left="2160" w:hanging="360"/>
      </w:pPr>
      <w:rPr>
        <w:rFonts w:ascii="Wingdings" w:hAnsi="Wingdings" w:hint="default"/>
      </w:rPr>
    </w:lvl>
    <w:lvl w:ilvl="3" w:tplc="53B4AEC2" w:tentative="1">
      <w:start w:val="1"/>
      <w:numFmt w:val="bullet"/>
      <w:lvlText w:val=""/>
      <w:lvlJc w:val="left"/>
      <w:pPr>
        <w:ind w:left="2880" w:hanging="360"/>
      </w:pPr>
      <w:rPr>
        <w:rFonts w:ascii="Symbol" w:hAnsi="Symbol" w:hint="default"/>
      </w:rPr>
    </w:lvl>
    <w:lvl w:ilvl="4" w:tplc="F6828200" w:tentative="1">
      <w:start w:val="1"/>
      <w:numFmt w:val="bullet"/>
      <w:lvlText w:val="o"/>
      <w:lvlJc w:val="left"/>
      <w:pPr>
        <w:ind w:left="3600" w:hanging="360"/>
      </w:pPr>
      <w:rPr>
        <w:rFonts w:ascii="Courier New" w:hAnsi="Courier New" w:cs="Courier New" w:hint="default"/>
      </w:rPr>
    </w:lvl>
    <w:lvl w:ilvl="5" w:tplc="D23A740C" w:tentative="1">
      <w:start w:val="1"/>
      <w:numFmt w:val="bullet"/>
      <w:lvlText w:val=""/>
      <w:lvlJc w:val="left"/>
      <w:pPr>
        <w:ind w:left="4320" w:hanging="360"/>
      </w:pPr>
      <w:rPr>
        <w:rFonts w:ascii="Wingdings" w:hAnsi="Wingdings" w:hint="default"/>
      </w:rPr>
    </w:lvl>
    <w:lvl w:ilvl="6" w:tplc="7B669270" w:tentative="1">
      <w:start w:val="1"/>
      <w:numFmt w:val="bullet"/>
      <w:lvlText w:val=""/>
      <w:lvlJc w:val="left"/>
      <w:pPr>
        <w:ind w:left="5040" w:hanging="360"/>
      </w:pPr>
      <w:rPr>
        <w:rFonts w:ascii="Symbol" w:hAnsi="Symbol" w:hint="default"/>
      </w:rPr>
    </w:lvl>
    <w:lvl w:ilvl="7" w:tplc="35BCD17E" w:tentative="1">
      <w:start w:val="1"/>
      <w:numFmt w:val="bullet"/>
      <w:lvlText w:val="o"/>
      <w:lvlJc w:val="left"/>
      <w:pPr>
        <w:ind w:left="5760" w:hanging="360"/>
      </w:pPr>
      <w:rPr>
        <w:rFonts w:ascii="Courier New" w:hAnsi="Courier New" w:cs="Courier New" w:hint="default"/>
      </w:rPr>
    </w:lvl>
    <w:lvl w:ilvl="8" w:tplc="4BD24EC8" w:tentative="1">
      <w:start w:val="1"/>
      <w:numFmt w:val="bullet"/>
      <w:lvlText w:val=""/>
      <w:lvlJc w:val="left"/>
      <w:pPr>
        <w:ind w:left="6480" w:hanging="360"/>
      </w:pPr>
      <w:rPr>
        <w:rFonts w:ascii="Wingdings" w:hAnsi="Wingdings" w:hint="default"/>
      </w:rPr>
    </w:lvl>
  </w:abstractNum>
  <w:abstractNum w:abstractNumId="6" w15:restartNumberingAfterBreak="0">
    <w:nsid w:val="5F470355"/>
    <w:multiLevelType w:val="hybridMultilevel"/>
    <w:tmpl w:val="F81C081C"/>
    <w:lvl w:ilvl="0" w:tplc="E8468328">
      <w:start w:val="1"/>
      <w:numFmt w:val="bullet"/>
      <w:lvlText w:val=""/>
      <w:lvlJc w:val="left"/>
      <w:pPr>
        <w:ind w:left="720" w:hanging="360"/>
      </w:pPr>
      <w:rPr>
        <w:rFonts w:ascii="Symbol" w:hAnsi="Symbol" w:hint="default"/>
        <w:color w:val="auto"/>
      </w:rPr>
    </w:lvl>
    <w:lvl w:ilvl="1" w:tplc="02306CDC" w:tentative="1">
      <w:start w:val="1"/>
      <w:numFmt w:val="bullet"/>
      <w:lvlText w:val="o"/>
      <w:lvlJc w:val="left"/>
      <w:pPr>
        <w:ind w:left="1440" w:hanging="360"/>
      </w:pPr>
      <w:rPr>
        <w:rFonts w:ascii="Courier New" w:hAnsi="Courier New" w:cs="Courier New" w:hint="default"/>
      </w:rPr>
    </w:lvl>
    <w:lvl w:ilvl="2" w:tplc="CD3894BE" w:tentative="1">
      <w:start w:val="1"/>
      <w:numFmt w:val="bullet"/>
      <w:lvlText w:val=""/>
      <w:lvlJc w:val="left"/>
      <w:pPr>
        <w:ind w:left="2160" w:hanging="360"/>
      </w:pPr>
      <w:rPr>
        <w:rFonts w:ascii="Wingdings" w:hAnsi="Wingdings" w:hint="default"/>
      </w:rPr>
    </w:lvl>
    <w:lvl w:ilvl="3" w:tplc="E8FEDA3A" w:tentative="1">
      <w:start w:val="1"/>
      <w:numFmt w:val="bullet"/>
      <w:lvlText w:val=""/>
      <w:lvlJc w:val="left"/>
      <w:pPr>
        <w:ind w:left="2880" w:hanging="360"/>
      </w:pPr>
      <w:rPr>
        <w:rFonts w:ascii="Symbol" w:hAnsi="Symbol" w:hint="default"/>
      </w:rPr>
    </w:lvl>
    <w:lvl w:ilvl="4" w:tplc="9AD43A70" w:tentative="1">
      <w:start w:val="1"/>
      <w:numFmt w:val="bullet"/>
      <w:lvlText w:val="o"/>
      <w:lvlJc w:val="left"/>
      <w:pPr>
        <w:ind w:left="3600" w:hanging="360"/>
      </w:pPr>
      <w:rPr>
        <w:rFonts w:ascii="Courier New" w:hAnsi="Courier New" w:cs="Courier New" w:hint="default"/>
      </w:rPr>
    </w:lvl>
    <w:lvl w:ilvl="5" w:tplc="4ABEE812" w:tentative="1">
      <w:start w:val="1"/>
      <w:numFmt w:val="bullet"/>
      <w:lvlText w:val=""/>
      <w:lvlJc w:val="left"/>
      <w:pPr>
        <w:ind w:left="4320" w:hanging="360"/>
      </w:pPr>
      <w:rPr>
        <w:rFonts w:ascii="Wingdings" w:hAnsi="Wingdings" w:hint="default"/>
      </w:rPr>
    </w:lvl>
    <w:lvl w:ilvl="6" w:tplc="BE7416BE" w:tentative="1">
      <w:start w:val="1"/>
      <w:numFmt w:val="bullet"/>
      <w:lvlText w:val=""/>
      <w:lvlJc w:val="left"/>
      <w:pPr>
        <w:ind w:left="5040" w:hanging="360"/>
      </w:pPr>
      <w:rPr>
        <w:rFonts w:ascii="Symbol" w:hAnsi="Symbol" w:hint="default"/>
      </w:rPr>
    </w:lvl>
    <w:lvl w:ilvl="7" w:tplc="FA9CE4E4" w:tentative="1">
      <w:start w:val="1"/>
      <w:numFmt w:val="bullet"/>
      <w:lvlText w:val="o"/>
      <w:lvlJc w:val="left"/>
      <w:pPr>
        <w:ind w:left="5760" w:hanging="360"/>
      </w:pPr>
      <w:rPr>
        <w:rFonts w:ascii="Courier New" w:hAnsi="Courier New" w:cs="Courier New" w:hint="default"/>
      </w:rPr>
    </w:lvl>
    <w:lvl w:ilvl="8" w:tplc="A9DAAD80" w:tentative="1">
      <w:start w:val="1"/>
      <w:numFmt w:val="bullet"/>
      <w:lvlText w:val=""/>
      <w:lvlJc w:val="left"/>
      <w:pPr>
        <w:ind w:left="6480" w:hanging="360"/>
      </w:pPr>
      <w:rPr>
        <w:rFonts w:ascii="Wingdings" w:hAnsi="Wingdings" w:hint="default"/>
      </w:rPr>
    </w:lvl>
  </w:abstractNum>
  <w:abstractNum w:abstractNumId="7" w15:restartNumberingAfterBreak="0">
    <w:nsid w:val="6E933E10"/>
    <w:multiLevelType w:val="hybridMultilevel"/>
    <w:tmpl w:val="43ACA194"/>
    <w:lvl w:ilvl="0" w:tplc="E00EFB92">
      <w:start w:val="1"/>
      <w:numFmt w:val="bullet"/>
      <w:lvlText w:val=""/>
      <w:lvlJc w:val="left"/>
      <w:pPr>
        <w:ind w:left="720" w:hanging="360"/>
      </w:pPr>
      <w:rPr>
        <w:rFonts w:ascii="Symbol" w:hAnsi="Symbol" w:hint="default"/>
      </w:rPr>
    </w:lvl>
    <w:lvl w:ilvl="1" w:tplc="B88E8DEC" w:tentative="1">
      <w:start w:val="1"/>
      <w:numFmt w:val="bullet"/>
      <w:lvlText w:val="o"/>
      <w:lvlJc w:val="left"/>
      <w:pPr>
        <w:ind w:left="1440" w:hanging="360"/>
      </w:pPr>
      <w:rPr>
        <w:rFonts w:ascii="Courier New" w:hAnsi="Courier New" w:cs="Courier New" w:hint="default"/>
      </w:rPr>
    </w:lvl>
    <w:lvl w:ilvl="2" w:tplc="37FC06EC" w:tentative="1">
      <w:start w:val="1"/>
      <w:numFmt w:val="bullet"/>
      <w:lvlText w:val=""/>
      <w:lvlJc w:val="left"/>
      <w:pPr>
        <w:ind w:left="2160" w:hanging="360"/>
      </w:pPr>
      <w:rPr>
        <w:rFonts w:ascii="Wingdings" w:hAnsi="Wingdings" w:hint="default"/>
      </w:rPr>
    </w:lvl>
    <w:lvl w:ilvl="3" w:tplc="EC1A28CA" w:tentative="1">
      <w:start w:val="1"/>
      <w:numFmt w:val="bullet"/>
      <w:lvlText w:val=""/>
      <w:lvlJc w:val="left"/>
      <w:pPr>
        <w:ind w:left="2880" w:hanging="360"/>
      </w:pPr>
      <w:rPr>
        <w:rFonts w:ascii="Symbol" w:hAnsi="Symbol" w:hint="default"/>
      </w:rPr>
    </w:lvl>
    <w:lvl w:ilvl="4" w:tplc="18A022B4" w:tentative="1">
      <w:start w:val="1"/>
      <w:numFmt w:val="bullet"/>
      <w:lvlText w:val="o"/>
      <w:lvlJc w:val="left"/>
      <w:pPr>
        <w:ind w:left="3600" w:hanging="360"/>
      </w:pPr>
      <w:rPr>
        <w:rFonts w:ascii="Courier New" w:hAnsi="Courier New" w:cs="Courier New" w:hint="default"/>
      </w:rPr>
    </w:lvl>
    <w:lvl w:ilvl="5" w:tplc="B02874A6" w:tentative="1">
      <w:start w:val="1"/>
      <w:numFmt w:val="bullet"/>
      <w:lvlText w:val=""/>
      <w:lvlJc w:val="left"/>
      <w:pPr>
        <w:ind w:left="4320" w:hanging="360"/>
      </w:pPr>
      <w:rPr>
        <w:rFonts w:ascii="Wingdings" w:hAnsi="Wingdings" w:hint="default"/>
      </w:rPr>
    </w:lvl>
    <w:lvl w:ilvl="6" w:tplc="A2E473F4" w:tentative="1">
      <w:start w:val="1"/>
      <w:numFmt w:val="bullet"/>
      <w:lvlText w:val=""/>
      <w:lvlJc w:val="left"/>
      <w:pPr>
        <w:ind w:left="5040" w:hanging="360"/>
      </w:pPr>
      <w:rPr>
        <w:rFonts w:ascii="Symbol" w:hAnsi="Symbol" w:hint="default"/>
      </w:rPr>
    </w:lvl>
    <w:lvl w:ilvl="7" w:tplc="E38E691C" w:tentative="1">
      <w:start w:val="1"/>
      <w:numFmt w:val="bullet"/>
      <w:lvlText w:val="o"/>
      <w:lvlJc w:val="left"/>
      <w:pPr>
        <w:ind w:left="5760" w:hanging="360"/>
      </w:pPr>
      <w:rPr>
        <w:rFonts w:ascii="Courier New" w:hAnsi="Courier New" w:cs="Courier New" w:hint="default"/>
      </w:rPr>
    </w:lvl>
    <w:lvl w:ilvl="8" w:tplc="C0005AFC" w:tentative="1">
      <w:start w:val="1"/>
      <w:numFmt w:val="bullet"/>
      <w:lvlText w:val=""/>
      <w:lvlJc w:val="left"/>
      <w:pPr>
        <w:ind w:left="6480" w:hanging="360"/>
      </w:pPr>
      <w:rPr>
        <w:rFonts w:ascii="Wingdings" w:hAnsi="Wingdings" w:hint="default"/>
      </w:rPr>
    </w:lvl>
  </w:abstractNum>
  <w:abstractNum w:abstractNumId="8" w15:restartNumberingAfterBreak="0">
    <w:nsid w:val="7ED03B02"/>
    <w:multiLevelType w:val="hybridMultilevel"/>
    <w:tmpl w:val="30964C0A"/>
    <w:lvl w:ilvl="0" w:tplc="679E763E">
      <w:numFmt w:val="bullet"/>
      <w:lvlText w:val=""/>
      <w:lvlJc w:val="left"/>
      <w:pPr>
        <w:ind w:left="720" w:hanging="360"/>
      </w:pPr>
      <w:rPr>
        <w:rFonts w:ascii="Symbol" w:eastAsia="Times New Roman" w:hAnsi="Symbol" w:cs="Arial" w:hint="default"/>
      </w:rPr>
    </w:lvl>
    <w:lvl w:ilvl="1" w:tplc="CA6661AA" w:tentative="1">
      <w:start w:val="1"/>
      <w:numFmt w:val="bullet"/>
      <w:lvlText w:val="o"/>
      <w:lvlJc w:val="left"/>
      <w:pPr>
        <w:ind w:left="1440" w:hanging="360"/>
      </w:pPr>
      <w:rPr>
        <w:rFonts w:ascii="Courier New" w:hAnsi="Courier New" w:cs="Courier New" w:hint="default"/>
      </w:rPr>
    </w:lvl>
    <w:lvl w:ilvl="2" w:tplc="55B2FBF4" w:tentative="1">
      <w:start w:val="1"/>
      <w:numFmt w:val="bullet"/>
      <w:lvlText w:val=""/>
      <w:lvlJc w:val="left"/>
      <w:pPr>
        <w:ind w:left="2160" w:hanging="360"/>
      </w:pPr>
      <w:rPr>
        <w:rFonts w:ascii="Wingdings" w:hAnsi="Wingdings" w:hint="default"/>
      </w:rPr>
    </w:lvl>
    <w:lvl w:ilvl="3" w:tplc="798212E8" w:tentative="1">
      <w:start w:val="1"/>
      <w:numFmt w:val="bullet"/>
      <w:lvlText w:val=""/>
      <w:lvlJc w:val="left"/>
      <w:pPr>
        <w:ind w:left="2880" w:hanging="360"/>
      </w:pPr>
      <w:rPr>
        <w:rFonts w:ascii="Symbol" w:hAnsi="Symbol" w:hint="default"/>
      </w:rPr>
    </w:lvl>
    <w:lvl w:ilvl="4" w:tplc="C07E2E64" w:tentative="1">
      <w:start w:val="1"/>
      <w:numFmt w:val="bullet"/>
      <w:lvlText w:val="o"/>
      <w:lvlJc w:val="left"/>
      <w:pPr>
        <w:ind w:left="3600" w:hanging="360"/>
      </w:pPr>
      <w:rPr>
        <w:rFonts w:ascii="Courier New" w:hAnsi="Courier New" w:cs="Courier New" w:hint="default"/>
      </w:rPr>
    </w:lvl>
    <w:lvl w:ilvl="5" w:tplc="FA5AD462" w:tentative="1">
      <w:start w:val="1"/>
      <w:numFmt w:val="bullet"/>
      <w:lvlText w:val=""/>
      <w:lvlJc w:val="left"/>
      <w:pPr>
        <w:ind w:left="4320" w:hanging="360"/>
      </w:pPr>
      <w:rPr>
        <w:rFonts w:ascii="Wingdings" w:hAnsi="Wingdings" w:hint="default"/>
      </w:rPr>
    </w:lvl>
    <w:lvl w:ilvl="6" w:tplc="5DDE6CD8" w:tentative="1">
      <w:start w:val="1"/>
      <w:numFmt w:val="bullet"/>
      <w:lvlText w:val=""/>
      <w:lvlJc w:val="left"/>
      <w:pPr>
        <w:ind w:left="5040" w:hanging="360"/>
      </w:pPr>
      <w:rPr>
        <w:rFonts w:ascii="Symbol" w:hAnsi="Symbol" w:hint="default"/>
      </w:rPr>
    </w:lvl>
    <w:lvl w:ilvl="7" w:tplc="FFACFB18" w:tentative="1">
      <w:start w:val="1"/>
      <w:numFmt w:val="bullet"/>
      <w:lvlText w:val="o"/>
      <w:lvlJc w:val="left"/>
      <w:pPr>
        <w:ind w:left="5760" w:hanging="360"/>
      </w:pPr>
      <w:rPr>
        <w:rFonts w:ascii="Courier New" w:hAnsi="Courier New" w:cs="Courier New" w:hint="default"/>
      </w:rPr>
    </w:lvl>
    <w:lvl w:ilvl="8" w:tplc="4CBACED6"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4"/>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7B"/>
    <w:rsid w:val="00CA297B"/>
    <w:rsid w:val="00DE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9F37E-9A46-4899-AF2A-C5D05A8C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5F"/>
  </w:style>
  <w:style w:type="paragraph" w:styleId="Heading1">
    <w:name w:val="heading 1"/>
    <w:basedOn w:val="Normal"/>
    <w:next w:val="Normal"/>
    <w:link w:val="Heading1Char"/>
    <w:uiPriority w:val="9"/>
    <w:qFormat/>
    <w:rsid w:val="003E313F"/>
    <w:pPr>
      <w:keepNext/>
      <w:keepLines/>
      <w:spacing w:before="120" w:after="120" w:line="240" w:lineRule="auto"/>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263CFE"/>
    <w:pPr>
      <w:keepNext/>
      <w:keepLines/>
      <w:spacing w:before="60" w:after="60" w:line="240" w:lineRule="auto"/>
      <w:outlineLvl w:val="1"/>
    </w:pPr>
    <w:rPr>
      <w:rFonts w:ascii="Arial" w:eastAsiaTheme="majorEastAsia" w:hAnsi="Arial"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263CFE"/>
    <w:pPr>
      <w:keepNext/>
      <w:keepLines/>
      <w:spacing w:before="60" w:after="60" w:line="240" w:lineRule="auto"/>
      <w:outlineLvl w:val="2"/>
    </w:pPr>
    <w:rPr>
      <w:rFonts w:ascii="Arial" w:eastAsiaTheme="majorEastAsia" w:hAnsi="Arial"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05F"/>
  </w:style>
  <w:style w:type="paragraph" w:styleId="Footer">
    <w:name w:val="footer"/>
    <w:basedOn w:val="Normal"/>
    <w:link w:val="FooterChar"/>
    <w:uiPriority w:val="99"/>
    <w:unhideWhenUsed/>
    <w:rsid w:val="001B1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05F"/>
  </w:style>
  <w:style w:type="paragraph" w:styleId="ListParagraph">
    <w:name w:val="List Paragraph"/>
    <w:basedOn w:val="Normal"/>
    <w:uiPriority w:val="34"/>
    <w:qFormat/>
    <w:rsid w:val="001B105F"/>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39"/>
    <w:rsid w:val="001B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10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1B105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1B105F"/>
    <w:rPr>
      <w:rFonts w:ascii="Arial" w:eastAsia="Times New Roman" w:hAnsi="Arial" w:cs="Arial"/>
      <w:color w:val="000000"/>
      <w:sz w:val="24"/>
      <w:szCs w:val="24"/>
      <w:lang w:eastAsia="en-GB"/>
    </w:rPr>
  </w:style>
  <w:style w:type="character" w:customStyle="1" w:styleId="legds2">
    <w:name w:val="legds2"/>
    <w:basedOn w:val="DefaultParagraphFont"/>
    <w:rsid w:val="001B105F"/>
    <w:rPr>
      <w:vanish w:val="0"/>
      <w:webHidden w:val="0"/>
      <w:specVanish w:val="0"/>
    </w:rPr>
  </w:style>
  <w:style w:type="character" w:styleId="Hyperlink">
    <w:name w:val="Hyperlink"/>
    <w:basedOn w:val="DefaultParagraphFont"/>
    <w:uiPriority w:val="99"/>
    <w:unhideWhenUsed/>
    <w:rsid w:val="007A7726"/>
    <w:rPr>
      <w:color w:val="0563C1" w:themeColor="hyperlink"/>
      <w:u w:val="single"/>
    </w:rPr>
  </w:style>
  <w:style w:type="paragraph" w:styleId="BalloonText">
    <w:name w:val="Balloon Text"/>
    <w:basedOn w:val="Normal"/>
    <w:link w:val="BalloonTextChar"/>
    <w:uiPriority w:val="99"/>
    <w:semiHidden/>
    <w:unhideWhenUsed/>
    <w:rsid w:val="00FE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42"/>
    <w:rPr>
      <w:rFonts w:ascii="Segoe UI" w:hAnsi="Segoe UI" w:cs="Segoe UI"/>
      <w:sz w:val="18"/>
      <w:szCs w:val="18"/>
    </w:rPr>
  </w:style>
  <w:style w:type="character" w:styleId="FollowedHyperlink">
    <w:name w:val="FollowedHyperlink"/>
    <w:basedOn w:val="DefaultParagraphFont"/>
    <w:uiPriority w:val="99"/>
    <w:semiHidden/>
    <w:unhideWhenUsed/>
    <w:rsid w:val="00A849D9"/>
    <w:rPr>
      <w:color w:val="954F72" w:themeColor="followedHyperlink"/>
      <w:u w:val="single"/>
    </w:rPr>
  </w:style>
  <w:style w:type="character" w:customStyle="1" w:styleId="Heading1Char">
    <w:name w:val="Heading 1 Char"/>
    <w:basedOn w:val="DefaultParagraphFont"/>
    <w:link w:val="Heading1"/>
    <w:uiPriority w:val="9"/>
    <w:rsid w:val="003E313F"/>
    <w:rPr>
      <w:rFonts w:ascii="Arial" w:eastAsiaTheme="majorEastAsia" w:hAnsi="Arial" w:cstheme="majorBidi"/>
      <w:b/>
      <w:color w:val="2E74B5" w:themeColor="accent1" w:themeShade="BF"/>
      <w:sz w:val="32"/>
      <w:szCs w:val="32"/>
    </w:rPr>
  </w:style>
  <w:style w:type="paragraph" w:styleId="TOCHeading">
    <w:name w:val="TOC Heading"/>
    <w:basedOn w:val="Heading1"/>
    <w:next w:val="Normal"/>
    <w:uiPriority w:val="39"/>
    <w:unhideWhenUsed/>
    <w:qFormat/>
    <w:rsid w:val="003E313F"/>
    <w:pPr>
      <w:outlineLvl w:val="9"/>
    </w:pPr>
    <w:rPr>
      <w:lang w:val="en-US"/>
    </w:rPr>
  </w:style>
  <w:style w:type="character" w:customStyle="1" w:styleId="Heading2Char">
    <w:name w:val="Heading 2 Char"/>
    <w:basedOn w:val="DefaultParagraphFont"/>
    <w:link w:val="Heading2"/>
    <w:uiPriority w:val="9"/>
    <w:rsid w:val="00263CFE"/>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263CFE"/>
    <w:rPr>
      <w:rFonts w:ascii="Arial" w:eastAsiaTheme="majorEastAsia" w:hAnsi="Arial" w:cstheme="majorBidi"/>
      <w:b/>
      <w:color w:val="1F4D78" w:themeColor="accent1" w:themeShade="7F"/>
      <w:sz w:val="24"/>
      <w:szCs w:val="24"/>
    </w:rPr>
  </w:style>
  <w:style w:type="paragraph" w:styleId="TOC1">
    <w:name w:val="toc 1"/>
    <w:basedOn w:val="Normal"/>
    <w:next w:val="Normal"/>
    <w:autoRedefine/>
    <w:uiPriority w:val="39"/>
    <w:unhideWhenUsed/>
    <w:rsid w:val="00263CFE"/>
    <w:pPr>
      <w:spacing w:after="100"/>
    </w:pPr>
  </w:style>
  <w:style w:type="paragraph" w:styleId="TOC2">
    <w:name w:val="toc 2"/>
    <w:basedOn w:val="Normal"/>
    <w:next w:val="Normal"/>
    <w:autoRedefine/>
    <w:uiPriority w:val="39"/>
    <w:unhideWhenUsed/>
    <w:rsid w:val="00263CFE"/>
    <w:pPr>
      <w:spacing w:after="100"/>
      <w:ind w:left="220"/>
    </w:pPr>
  </w:style>
  <w:style w:type="paragraph" w:styleId="TOC3">
    <w:name w:val="toc 3"/>
    <w:basedOn w:val="Normal"/>
    <w:next w:val="Normal"/>
    <w:autoRedefine/>
    <w:uiPriority w:val="39"/>
    <w:unhideWhenUsed/>
    <w:rsid w:val="00263CFE"/>
    <w:pPr>
      <w:tabs>
        <w:tab w:val="right" w:leader="dot" w:pos="10456"/>
      </w:tabs>
      <w:spacing w:before="240" w:after="24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tonearlyaction@lanca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yley.hughes@chorley.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casterdistrictintegratedteam@lancashire.gov.uk" TargetMode="External"/><Relationship Id="rId5" Type="http://schemas.openxmlformats.org/officeDocument/2006/relationships/webSettings" Target="webSettings.xml"/><Relationship Id="rId15" Type="http://schemas.openxmlformats.org/officeDocument/2006/relationships/hyperlink" Target="mailto:WLintegratedteam@lancashire.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srintegratedteam@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D7E0-21D1-4DA4-A7E6-1A17647E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McGurn, Yvette</dc:creator>
  <cp:lastModifiedBy>Mansfield, Joanne</cp:lastModifiedBy>
  <cp:revision>7</cp:revision>
  <dcterms:created xsi:type="dcterms:W3CDTF">2018-12-14T13:56:00Z</dcterms:created>
  <dcterms:modified xsi:type="dcterms:W3CDTF">2019-01-24T15:03:00Z</dcterms:modified>
</cp:coreProperties>
</file>